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EEG NRW (Nordrhein-Westfalen) — Vorbereitung der mündlichen Verhandlung</w:t>
      </w:r>
    </w:p>
    <w:p>
      <w:r>
        <w:rPr>
          <w:color w:val="555555"/>
          <w:sz w:val="18"/>
        </w:rPr>
        <w:t xml:space="preserve">Landesenteignungs- und -entschädigungsgesetz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Enteignungsverfahren soll beschleunigt durchgeführt werden. Die Enteignungsbehörde soll schon vor der mündlichen Verhandlung alle Anordnungen treffen, die erforderlich sind, um das Verfahren tunlichst in einem Verhandlungstermin zu erledigen. Sie hat dem Eigentümer, dem Antragsteller sowie den Behörden, für deren Geschäftsbereich die Enteignung von Bedeutung ist, Gelegenheit zur Äußerung zu geben. Die Enteignungsbehörde kann ein Gutachten des Gutachterausschusses (§ 192 BauGB) oder ein Gutachten anderer Sachverständiger einholen, wenn Eigentum an Grundstücken oder Rechte an Grundstücken entzogen oder beschränkt werden sollen; sie kann auch ein Gutachten über die Höhe der Entschädigung für andere Vermögensnachteile (§ 11) einholen.</w:t>
      </w:r>
    </w:p>
    <w:p>
      <w:r>
        <w:t xml:space="preserve">(2) Die Enteignungsbehörde hat den Geschäftsführer der Kreisstelle der Landwirtschaftskammer als Landesbeauftragten im Kreise zu hören, wenn landwirtschaftlich genutzte Grundstücke, die außerhalb des räumlichen Geltungsbereichs eines Bebauungsplans liegen, zur Entschädigung in Land enteignet werden sollen.</w:t>
      </w:r>
    </w:p>
    <w:p>
      <w:r>
        <w:t xml:space="preserve">(3) Enteignungsverfahren können zur gemeinsamen Verhandlung miteinander verbunden werden, wenn dies sachdienlich ist, insbesondere eine Beschleunigung des Verfahrens zu erwarten ist. Verbundene Enteignungsverfahren können wieder getrennt werden,</w:t>
      </w:r>
    </w:p>
    <w:p>
      <w:r>
        <w:t xml:space="preserve">(4) Für das Enteignungsverfahren bedeutsame persönliche oder sachliche Verhältnisse der von der Enteignung betroffenen natürlichen Personen dürfen nur mit deren Einwilligung in Gegenwart anderer Betroffener verhandelt werden. Die Einwilligung muß schriftlich oder zu Protokoll erklärt werden. Die Betroffenen sind in geeigneter Weise darüber aufzuklären, daß für das Enteignungsverfahren bedeutsame persönliche oder sachliche Verhältnisse offenkundig werden können. Auf die Möglichkeit des jederzeitigen Widerrufs der Einwilligung sind sie hinzuweisen. Bei Widerruf muß insoweit getrennt verhandelt werden.</w:t>
      </w:r>
    </w:p>
    <w:p>
      <w:r>
        <w:rPr>
          <w:color w:val="555555"/>
          <w:sz w:val="17"/>
        </w:rPr>
        <w:t xml:space="preserve">Zitiervorschlag: § 24 EEG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https://recht.nulegal.eu/gesetze/EEG%20NRW/24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