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EEG NRW (Nordrhein-Westfalen) — Härteausgleich</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 bewohntes Grundstück enteignet, so soll einem Mieter, Pächter oder sonstigen Nutzungsberechtigten, der durch die Enteignungsmaßnahme sein Nutzungsrecht verliert, zur Vermeidung oder zum Ausgleich wirtschaftlicher Nachteile, die in seinen persönlichen Lebensumständen eine besondere Härte bedeuten und die durch die nach den §§ 10 bis 12 gewährte Entschädigung nicht abgedeckt und auch nicht durch sonstige Maßnahmen ausgeglichen werden, ein Geldausgleich gewährt werden, soweit es die Billigkeit erfordert (Härteausgleich). Der Härteausgleich kann auch durch ein zinsgünstiges Darlehen oder durch Zinsverbilligung eines Darlehens erbracht werden.</w:t>
      </w:r>
    </w:p>
    <w:p>
      <w:r>
        <w:t xml:space="preserve">(2) Die Leistung des Härteausgleichs obliegt dem Enteignungsbegünstigten (§ 9 Abs. 2).</w:t>
      </w:r>
    </w:p>
    <w:p>
      <w:r>
        <w:t xml:space="preserve">(3) Ein Härteausgleich ist nicht zu gewähren, soweit der Entschädigungsberechtigte es unterlassen hat oder unterläßt, den wirtschaftlichen Nachteil durch zumutbare Maßnahmen, insbesondere unter Einsatz eigener oder fremder Mittel, abzuwenden.</w:t>
      </w:r>
    </w:p>
    <w:p>
      <w:r>
        <w:t xml:space="preserve">(4) Ein Härteausgleich ist nur auf Antrag zu gewähren. Diesen hat der Entschädigungsberechtigte schriftlich oder zur Niederschrift der Enteignungsbehörde bis zum Schluß der mündlichen Verhandlung (§ 25) zu stellen.</w:t>
      </w:r>
    </w:p>
    <w:p>
      <w:r>
        <w:t xml:space="preserve">(5) Über einen Antrag auf einen Härteausgleich ist in dem Enteignungsbeschluß (§ 30) zu befinden.</w:t>
      </w:r>
    </w:p>
    <w:p>
      <w:r>
        <w:rPr>
          <w:color w:val="555555"/>
          <w:sz w:val="17"/>
        </w:rPr>
        <w:t xml:space="preserve">Zitiervorschlag: § 13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