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EEG NRW (Nordrhein-Westfalen) — Anwendungsbereich</w:t>
      </w:r>
    </w:p>
    <w:p>
      <w:r>
        <w:rPr>
          <w:color w:val="555555"/>
          <w:sz w:val="18"/>
        </w:rPr>
        <w:t xml:space="preserve">Landesenteignungs- und -entschädigungsgesetz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gilt für alle Enteignungs- und Besitzeinweisungsverfahren und die damit verbundenen Entschädigungs- und Übernahmeverfahren im Lande Nordrhein-Westfalen, wenn und soweit nicht Bundesrecht anzuwenden ist. Für andere Entschädigungs- und Übernahmeverfahren (§§ 40 und 41) gilt dieses Gesetz nur, wenn und soweit es dies vorsieht und nicht bundesrechtliche Vorschriften anzuwenden sind.</w:t>
      </w:r>
    </w:p>
    <w:p>
      <w:r>
        <w:rPr>
          <w:color w:val="555555"/>
          <w:sz w:val="17"/>
        </w:rPr>
        <w:t xml:space="preserve">Zitiervorschlag: § 1 EEG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https://recht.nulegal.eu/gesetze/EEG%20NRW/1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