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EEG 2014 — Kooperationsausschuss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Die zuständigen Staatssekretärinnen und Staatssekretäre der Länder und des Bundes bilden einen Kooperationsausschuss. Der Kooperationsausschuss koordiniert die Erfassung</w:t>
      </w:r>
    </w:p>
    <w:p>
      <w:pPr>
        <w:ind w:left="420"/>
      </w:pPr>
      <w:r>
        <w:t xml:space="preserve">1. der Ziele der Länder zur Erreichung des Ziels nach § 1 Absatz 2,</w:t>
      </w:r>
    </w:p>
    <w:p>
      <w:pPr>
        <w:ind w:left="420"/>
      </w:pPr>
      <w:r>
        <w:t xml:space="preserve">2. der Flächenausweisung in den Ländern für das Erreichen der Flächenbeitragswerte nach der Anlage zum Windenergieflächenbedarfsgesetz vom 20. Juli 2022 (BGBl. I S. 1353), in der jeweils geltenden Fassung, und</w:t>
      </w:r>
    </w:p>
    <w:p>
      <w:pPr>
        <w:ind w:left="420"/>
      </w:pPr>
      <w:r>
        <w:t xml:space="preserve">3. des Stands der Umsetzung der Ziele nach Nummer 1 und der Flächenausweisungen nach Nummer 2.</w:t>
      </w:r>
    </w:p>
    <w:p>
      <w:r>
        <w:t xml:space="preserve">(2) Der Kooperationsausschuss wird vom zuständigen Staatssekretär des Bundesministeriums für Wirtschaft und Klimaschutz geleitet.</w:t>
      </w:r>
    </w:p>
    <w:p>
      <w:r>
        <w:t xml:space="preserve">(3) Der Kooperationsausschuss tagt mindestens zweimal im Jahr. Die Mitglieder des Kooperationsausschusses können sich vertreten lassen.</w:t>
      </w:r>
    </w:p>
    <w:p>
      <w:r>
        <w:t xml:space="preserve">(4) Der Kooperationsausschuss wird von einem beim Bundesministerium für Wirtschaft und Klimaschutz einzurichtenden Sekretariat unterstützt.</w:t>
      </w:r>
    </w:p>
    <w:p>
      <w:r>
        <w:t xml:space="preserve">(5) Für die Sitzungen des Kooperationsausschusses müssen laufend die erforderlichen Daten beschafft und analysiert werden, insbesondere</w:t>
      </w:r>
    </w:p>
    <w:p>
      <w:pPr>
        <w:ind w:left="420"/>
      </w:pPr>
      <w:r>
        <w:t xml:space="preserve">1. zu dem Stand des Ausbaus von Windenergieanlagen an Land und Freiflächenanlagen,</w:t>
      </w:r>
    </w:p>
    <w:p>
      <w:pPr>
        <w:ind w:left="420"/>
      </w:pPr>
      <w:r>
        <w:t xml:space="preserve">2. zu dem Umfang der für diese Anlagen bereits genutzten Flächen und der für den Ausbaupfad nach § 4 erforderlichen weiteren Flächen,</w:t>
      </w:r>
    </w:p>
    <w:p>
      <w:pPr>
        <w:ind w:left="420"/>
      </w:pPr>
      <w:r>
        <w:t xml:space="preserve">3. zu dem Umfang der für Windenergieanlagen an Land ausgewiesenen Flächen und der für das Erreichen der Flächenbeitragswerte nach der Anlage zum Windenergieflächenbedarfsgesetz erforderlichen weiteren Flächen,</w:t>
      </w:r>
    </w:p>
    <w:p>
      <w:pPr>
        <w:ind w:left="420"/>
      </w:pPr>
      <w:r>
        <w:t xml:space="preserve">4. zu dem Nachweis von Planaufstellungsbeschlüssen und dem Inkrafttreten von Landesgesetzen oder Raumordnungsplänen nach § 3 Absatz 3 des Windenergieflächenbedarfsgesetzes und</w:t>
      </w:r>
    </w:p>
    <w:p>
      <w:pPr>
        <w:ind w:left="420"/>
      </w:pPr>
      <w:r>
        <w:t xml:space="preserve">5. zu der Dauer der Genehmigungsverfahren dieser Anlagen und den Hemmnissen in diesen Verfahren.</w:t>
      </w:r>
    </w:p>
    <w:p>
      <w:r>
        <w:t xml:space="preserve">(6) Der Kooperationsausschuss kann sich bei der Aufgabe nach Absatz 5 unterstützen lassen. Zu diesem Zweck kann das Sekretariat des Kooperationsausschusses</w:t>
      </w:r>
    </w:p>
    <w:p>
      <w:pPr>
        <w:ind w:left="420"/>
      </w:pPr>
      <w:r>
        <w:t xml:space="preserve">1. eine juristische Person des Privatrechts mit der Datenbeschaffung und Datenanalyse beauftragen oder</w:t>
      </w:r>
    </w:p>
    <w:p>
      <w:pPr>
        <w:ind w:left="420"/>
      </w:pPr>
      <w:r>
        <w:t xml:space="preserve">2. die Datenaufbereitung und Datenanalyse einer juristischen Person des Privatrechts nutzen, die von dieser Person im eigenen Interesse erstellt und dem Sekretariat des Kooperationsausschusses zur Verfügung gestellt worden sind; das Sekretariat des Kooperationsausschusses kann diese Person durch Zuwendungen unterstützen.</w:t>
      </w:r>
    </w:p>
    <w:p>
      <w:r>
        <w:rPr>
          <w:color w:val="555555"/>
          <w:sz w:val="17"/>
        </w:rPr>
        <w:t xml:space="preserve">Zitiervorschlag: § 97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