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95 EEG 2014 — Weitere Verordnungsermächtigungen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Die Bundesregierung wird ferner ermächtigt, durch Rechtsverordnung ohne Zustimmung des Bundesrates</w:t>
      </w:r>
    </w:p>
    <w:p>
      <w:pPr>
        <w:ind w:left="420"/>
      </w:pPr>
      <w:r>
        <w:t xml:space="preserve">1. die Höchstwerte nach den §§ 36b, 37b oder 38e neu festzusetzen und ihre Verringerung und deren zeitliche Anwendung abweichend von den vorgenannten Bestimmungen zu regeln,</w:t>
      </w:r>
    </w:p>
    <w:p>
      <w:pPr>
        <w:ind w:left="420"/>
      </w:pPr>
      <w:r>
        <w:t xml:space="preserve">1a. für Solaranlagen, die nach dem Inkrafttreten der Rechtsverordnung in Betrieb genommen worden sind,</w:t>
      </w:r>
    </w:p>
    <w:p>
      <w:pPr>
        <w:ind w:left="780"/>
      </w:pPr>
      <w:r>
        <w:t xml:space="preserve">a) die Höhe der anzulegenden Werte nach § 48 Absatz 1 bis 2a oder § 48a neu festzusetzen und</w:t>
      </w:r>
    </w:p>
    <w:p>
      <w:pPr>
        <w:ind w:left="780"/>
      </w:pPr>
      <w:r>
        <w:t xml:space="preserve">b) die Höhe von Absenkungen der anzulegenden Werte für Strom aus Solaranlagen und deren zeitliche Anwendung abweichend von § 49 zu regeln,</w:t>
      </w:r>
    </w:p>
    <w:p>
      <w:pPr>
        <w:ind w:left="420"/>
      </w:pPr>
      <w:r>
        <w:t xml:space="preserve">2. (weggefallen)</w:t>
      </w:r>
    </w:p>
    <w:p>
      <w:pPr>
        <w:ind w:left="420"/>
      </w:pPr>
      <w:r>
        <w:t xml:space="preserve">2a. (weggefallen)</w:t>
      </w:r>
    </w:p>
    <w:p>
      <w:pPr>
        <w:ind w:left="420"/>
      </w:pPr>
      <w:r>
        <w:t xml:space="preserve">3. festzulegen, wann ein Gebäude nach § 48 Absatz 1 Satz 1 Nummer 1a nicht dazu geeignet ist, dass auf, an oder in ihm eine Solaranlage errichtet werden kann,</w:t>
      </w:r>
    </w:p>
    <w:p>
      <w:pPr>
        <w:ind w:left="420"/>
      </w:pPr>
      <w:r>
        <w:t xml:space="preserve">4. ergänzend zu Anlage 2 Bestimmungen zur Ermittlung und Anwendung des Referenzertrags zu regeln,</w:t>
      </w:r>
    </w:p>
    <w:p>
      <w:pPr>
        <w:ind w:left="420"/>
      </w:pPr>
      <w:r>
        <w:t xml:space="preserve">5. Anforderungen an Windenergieanlagen zur Verbesserung der Netzintegration (Systemdienstleistungen) zu regeln, insbesondere</w:t>
      </w:r>
    </w:p>
    <w:p>
      <w:pPr>
        <w:ind w:left="780"/>
      </w:pPr>
      <w:r>
        <w:t xml:space="preserve">a) für Windenergieanlagen an Land Anforderungen</w:t>
      </w:r>
    </w:p>
    <w:p>
      <w:pPr>
        <w:ind w:left="1140"/>
      </w:pPr>
      <w:r>
        <w:t xml:space="preserve">aa) an das Verhalten der Anlagen im Fehlerfall,</w:t>
      </w:r>
    </w:p>
    <w:p>
      <w:pPr>
        <w:ind w:left="1140"/>
      </w:pPr>
      <w:r>
        <w:t xml:space="preserve">bb) an die Spannungshaltung und Blindleistungsbereitstellung,</w:t>
      </w:r>
    </w:p>
    <w:p>
      <w:pPr>
        <w:ind w:left="1140"/>
      </w:pPr>
      <w:r>
        <w:t xml:space="preserve">cc) an die Frequenzhaltung,</w:t>
      </w:r>
    </w:p>
    <w:p>
      <w:pPr>
        <w:ind w:left="1140"/>
      </w:pPr>
      <w:r>
        <w:t xml:space="preserve">dd) an das Nachweisverfahren,</w:t>
      </w:r>
    </w:p>
    <w:p>
      <w:pPr>
        <w:ind w:left="1140"/>
      </w:pPr>
      <w:r>
        <w:t xml:space="preserve">ee) an den Versorgungswiederaufbau und</w:t>
      </w:r>
    </w:p>
    <w:p>
      <w:pPr>
        <w:ind w:left="1140"/>
      </w:pPr>
      <w:r>
        <w:t xml:space="preserve">ff) bei der Erweiterung bestehender Windparks und</w:t>
      </w:r>
    </w:p>
    <w:p>
      <w:pPr>
        <w:ind w:left="780"/>
      </w:pPr>
      <w:r>
        <w:t xml:space="preserve">b) für Windenergieanlagen an Land, die bereits vor dem 1. Januar 2012 in Betrieb genommen wurden, Anforderungen</w:t>
      </w:r>
    </w:p>
    <w:p>
      <w:pPr>
        <w:ind w:left="1140"/>
      </w:pPr>
      <w:r>
        <w:t xml:space="preserve">aa) an das Verhalten der Anlagen im Fehlerfall,</w:t>
      </w:r>
    </w:p>
    <w:p>
      <w:pPr>
        <w:ind w:left="1140"/>
      </w:pPr>
      <w:r>
        <w:t xml:space="preserve">bb) an die Frequenzhaltung,</w:t>
      </w:r>
    </w:p>
    <w:p>
      <w:pPr>
        <w:ind w:left="1140"/>
      </w:pPr>
      <w:r>
        <w:t xml:space="preserve">cc) an das Nachweisverfahren,</w:t>
      </w:r>
    </w:p>
    <w:p>
      <w:pPr>
        <w:ind w:left="1140"/>
      </w:pPr>
      <w:r>
        <w:t xml:space="preserve">dd) an den Versorgungswiederaufbau und</w:t>
      </w:r>
    </w:p>
    <w:p>
      <w:pPr>
        <w:ind w:left="1140"/>
      </w:pPr>
      <w:r>
        <w:t xml:space="preserve">ee) bei der Nachrüstung von Altanlagen in bestehenden Windparks,</w:t>
      </w:r>
    </w:p>
    <w:p>
      <w:pPr>
        <w:ind w:left="420"/>
      </w:pPr>
      <w:r>
        <w:t xml:space="preserve">6. abweichend von § 51 für Anlagen,</w:t>
      </w:r>
    </w:p>
    <w:p>
      <w:pPr>
        <w:ind w:left="780"/>
      </w:pPr>
      <w:r>
        <w:t xml:space="preserve">a) deren anzulegender Wert in einem Zuschlagsverfahren nach dem 31. Dezember 2022 ermittelt wurde oder</w:t>
      </w:r>
    </w:p>
    <w:p>
      <w:pPr>
        <w:ind w:left="780"/>
      </w:pPr>
      <w:r>
        <w:t xml:space="preserve">b) bei denen die Höhe des Anspruchs nach § 19 nicht durch Ausschreibungen ermittelt wurde und die nach dem 31. Dezember 2022 in Betrieb genommen wurden,</w:t>
      </w:r>
    </w:p>
    <w:p>
      <w:pPr>
        <w:ind w:left="420"/>
      </w:pPr>
      <w:r>
        <w:t xml:space="preserve">im Einklang mit dem europäischen Beihilfenrecht zu regeln, für welche Anlagen und unter welchen Voraussetzungen sich der anzulegende Wert im Fall negativer Spotmarktpreise auf null verringert.</w:t>
      </w:r>
    </w:p>
    <w:p>
      <w:r>
        <w:rPr>
          <w:color w:val="555555"/>
          <w:sz w:val="17"/>
        </w:rPr>
        <w:t xml:space="preserve">Zitiervorschlag: § 95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https://recht.nulegal.eu/gesetze/EEG%202014/95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