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EEG 2014 — Verordnungsermächtigung zu systemdienlichem Anlagenbetrieb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Bundesministerium für Wirtschaft und Klimaschutz wird ermächtigt, zur Sicherstellung eines netz- und systemdienlichen Betriebs von Anlagen, soweit sie der Einspeisevergütung zugeordnet sind, durch Rechtsverordnung ohne Zustimmung des Bundesrates zu regeln,</w:t>
      </w:r>
    </w:p>
    <w:p>
      <w:pPr>
        <w:ind w:left="420"/>
      </w:pPr>
      <w:r>
        <w:t xml:space="preserve">1. dass Übertragungsnetzbetreiber aufgrund von Gefahren für die Sicherheit oder Zuverlässigkeit des Elektrizitätsversorgungssystems die Einspeisung von Strom in ein Netz für bestimmte Zeiträume auf einen Anteil der Wirkleistungseinspeisung zwischen 0 und 100 Prozent begrenzen können,</w:t>
      </w:r>
    </w:p>
    <w:p>
      <w:pPr>
        <w:ind w:left="420"/>
      </w:pPr>
      <w:r>
        <w:t xml:space="preserve">2. welche weiteren Berechtigten aufgrund einer Begrenzung nach Nummer 1 die Ist-Einspeisung von Anlagen abrufen und die Einspeiseleistung ferngesteuert regeln können,</w:t>
      </w:r>
    </w:p>
    <w:p>
      <w:pPr>
        <w:ind w:left="420"/>
      </w:pPr>
      <w:r>
        <w:t xml:space="preserve">3. in welchen Verfahren, Fristen und Datenformaten Übertragungsnetzbetreiber Begrenzungen nach Nummer 1 gegenüber betroffenen Marktakteuren kommunizieren,</w:t>
      </w:r>
    </w:p>
    <w:p>
      <w:pPr>
        <w:ind w:left="420"/>
      </w:pPr>
      <w:r>
        <w:t xml:space="preserve">4. welche Rechtsfolgen Anlagenbetreiber bei Zuwiderhandlung gegen eine Begrenzung nach Nummer 1 treffen, und dabei insbesondere zu bestimmen, dass der Anlagenbetreiber Zahlungen entsprechend § 52 Absatz 1 zu leisten hat oder dass der Netzbetreiber Maßnahmen entsprechend § 52a vorzunehmen hat,</w:t>
      </w:r>
    </w:p>
    <w:p>
      <w:pPr>
        <w:ind w:left="420"/>
      </w:pPr>
      <w:r>
        <w:t xml:space="preserve">5. dass die Verlängerung des Förderzeitraums abweichend von § 51a Absatz 1 und 2 auf solche Viertelstunden beschränkt wird, in denen kein Strom, für den ein Anspruch nach § 19 Absatz 1 besteht, aus der Anlage in das Netz eingespeist wurde, und</w:t>
      </w:r>
    </w:p>
    <w:p>
      <w:pPr>
        <w:ind w:left="420"/>
      </w:pPr>
      <w:r>
        <w:t xml:space="preserve">6. in welcher Form und zu welchen Zeitpunkten Zeiträume nach Nummer 1 und Zeiten, in denen der Spotmarktpreis negativ ist, öffentlich bekanntgemacht werden müssen.</w:t>
      </w:r>
    </w:p>
    <w:p>
      <w:r>
        <w:rPr>
          <w:color w:val="555555"/>
          <w:sz w:val="17"/>
        </w:rPr>
        <w:t xml:space="preserve">Zitiervorschlag: § 94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