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EEG 2014 — Verordnungsermächtigung zum Ausgleichsmechanismus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Bundesregierung wird ermächtigt, zur Weiterentwicklung des bundesweiten Ausgleichsmechanismus durch Rechtsverordnung ohne Zustimmung des Bundesrates zu regeln,</w:t>
      </w:r>
    </w:p>
    <w:p>
      <w:pPr>
        <w:ind w:left="420"/>
      </w:pPr>
      <w:r>
        <w:t xml:space="preserve">1. dass Vorgaben zur Vermarktung des nach diesem Gesetz kaufmännisch abgenommenen Stroms gemacht werden können, einschließlich</w:t>
      </w:r>
    </w:p>
    <w:p>
      <w:pPr>
        <w:ind w:left="780"/>
      </w:pPr>
      <w:r>
        <w:t xml:space="preserve">a) der Möglichkeit, die Vergütungszahlungen und Transaktionskosten durch finanzielle Anreize abzugelten oder Übertragungsnetzbetreiber an den Gewinnen und Verlusten bei der Vermarktung zu beteiligen,</w:t>
      </w:r>
    </w:p>
    <w:p>
      <w:pPr>
        <w:ind w:left="780"/>
      </w:pPr>
      <w:r>
        <w:t xml:space="preserve">b) der Überwachung der Vermarktung,</w:t>
      </w:r>
    </w:p>
    <w:p>
      <w:pPr>
        <w:ind w:left="780"/>
      </w:pPr>
      <w:r>
        <w:t xml:space="preserve">c) Anforderungen an die Vermarktung, insbesondere an die Preissetzung von preislimitierten Geboten, und Kontoführung sowie an die Ermittlung des Werts des Abzugs für Strom aus ausgeförderten Anlagen nach § 53 Absatz 4 einschließlich von Veröffentlichungs- und Transparenzpflichten, Fristen und Übergangsregelungen für den Ausgleich des EEG-Finanzierungsbedarfs nach den Teilen 3 und 4 Abschnitt 1 des Energiefinanzierungsgesetzes und</w:t>
      </w:r>
    </w:p>
    <w:p>
      <w:pPr>
        <w:ind w:left="420"/>
      </w:pPr>
      <w:r>
        <w:t xml:space="preserve">2. dass und unter welchen Voraussetzungen die Übertragungsnetzbetreiber berechtigt oder verpflichtet werden können,</w:t>
      </w:r>
    </w:p>
    <w:p>
      <w:pPr>
        <w:ind w:left="780"/>
      </w:pPr>
      <w:r>
        <w:t xml:space="preserve">a) mit Anlagenbetreibern vertragliche Vereinbarungen zu treffen, die unter angemessener Berücksichtigung des Einspeisevorrangs der Optimierung der Vermarktung des Stroms dienen; dies schließt die Berücksichtigung der durch solche Vereinbarungen entstehenden Kosten im Rahmen des Ausgleichs des EEG-Finanzierungsbedarfs nach den Teilen 3 und 4 Abschnitt 1 des Energiefinanzierungsgesetzes ein, sofern sie volkswirtschaftlich angemessen sind,</w:t>
      </w:r>
    </w:p>
    <w:p>
      <w:pPr>
        <w:ind w:left="780"/>
      </w:pPr>
      <w:r>
        <w:t xml:space="preserve">b) Anlagen bei negativen Preisen abzuregeln und den Anlagenbetreibern die durch die Abregelung entgangenen Einnahmen, insbesondere einen entgangenen Anspruch nach § 19 Absatz 1 Nummer 2, finanziell auszugleichen.</w:t>
      </w:r>
    </w:p>
    <w:p>
      <w:r>
        <w:rPr>
          <w:color w:val="555555"/>
          <w:sz w:val="17"/>
        </w:rPr>
        <w:t xml:space="preserve">Zitiervorschlag: § 91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