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EEG 2014 — Verordnungsermächtigung zu Nachhaltigkeitsanforderungen für Biomasse</w:t>
      </w:r>
    </w:p>
    <w:p>
      <w:r>
        <w:rPr>
          <w:color w:val="555555"/>
          <w:sz w:val="18"/>
        </w:rPr>
        <w:t xml:space="preserve">Erneuerbare-Energien-Gesetz</w:t>
      </w:r>
    </w:p>
    <w:p>
      <w:r>
        <w:rPr>
          <w:color w:val="555555"/>
          <w:sz w:val="18"/>
        </w:rPr>
        <w:t xml:space="preserve">Stand: 23.12.2025 (konsolidierte Textfassung, kein amtliches Inkrafttretensdatum)</w:t>
      </w:r>
    </w:p>
    <w:p>
      <w:r>
        <w:t xml:space="preserve">Das Bundesministerium für Umwelt, Naturschutz, nukleare Sicherheit und Verbraucherschutz wird ermächtigt, im Einvernehmen mit dem Bundesministerium für Wirtschaft und Klimaschutz und dem Bundesministerium für Ernährung und Landwirtschaft durch Rechtsverordnung ohne Zustimmung des Bundesrates</w:t>
      </w:r>
    </w:p>
    <w:p>
      <w:pPr>
        <w:ind w:left="420"/>
      </w:pPr>
      <w:r>
        <w:t xml:space="preserve">1. zu regeln, dass der Anspruch auf Zahlung nach § 19 Absatz 1 und § 50 für Strom aus fester, flüssiger oder gasförmiger Biomasse nur besteht, wenn die zur Stromerzeugung eingesetzte Biomasse folgende Anforderungen erfüllt:</w:t>
      </w:r>
    </w:p>
    <w:p>
      <w:pPr>
        <w:ind w:left="780"/>
      </w:pPr>
      <w:r>
        <w:t xml:space="preserve">a) bestimmte ökologische und sonstige Anforderungen an einen nachhaltigen Anbau und an die durch den Anbau in Anspruch genommenen Flächen, insbesondere zum Schutz natürlicher Lebensräume, von Grünland mit großer biologischer Vielfalt im Sinne der Richtlinie (EU) 2018/2001 und von Flächen mit hohem Kohlenstoffbestand,</w:t>
      </w:r>
    </w:p>
    <w:p>
      <w:pPr>
        <w:ind w:left="780"/>
      </w:pPr>
      <w:r>
        <w:t xml:space="preserve">b) bestimmte ökologische und soziale Anforderungen an eine nachhaltige Herstellung,</w:t>
      </w:r>
    </w:p>
    <w:p>
      <w:pPr>
        <w:ind w:left="780"/>
      </w:pPr>
      <w:r>
        <w:t xml:space="preserve">c) ein bestimmtes Treibhausgas-Minderungspotenzial, das bei der Stromerzeugung mindestens erreicht werden muss,</w:t>
      </w:r>
    </w:p>
    <w:p>
      <w:pPr>
        <w:ind w:left="420"/>
      </w:pPr>
      <w:r>
        <w:t xml:space="preserve">2. die Anforderungen nach Nummer 1 einschließlich der Vorgaben zur Ermittlung des Treibhausgas-Minderungspotenzials nach Nummer 1 Buchstabe c zu regeln,</w:t>
      </w:r>
    </w:p>
    <w:p>
      <w:pPr>
        <w:ind w:left="420"/>
      </w:pPr>
      <w:r>
        <w:t xml:space="preserve">3. festzulegen, wie Wirtschaftsteilnehmer nach Artikel 2 Nummer 11 der Durchführungsverordnung (EU) 2022/996 die Einhaltung der Anforderungen nach den Nummern 1 und 2 nachweisen müssen; dies schließt Regelungen ein</w:t>
      </w:r>
    </w:p>
    <w:p>
      <w:pPr>
        <w:ind w:left="780"/>
      </w:pPr>
      <w:r>
        <w:t xml:space="preserve">a) zum Inhalt, zu der Form und der Gültigkeitsdauer dieser Nachweise einschließlich Regelungen zur Anerkennung von Nachweisen, die nach dem Recht der Europäischen Union oder eines anderen Staates als Nachweis über die Erfüllung von Anforderungen nach Nummer 1 anerkannt wurden,</w:t>
      </w:r>
    </w:p>
    <w:p>
      <w:pPr>
        <w:ind w:left="780"/>
      </w:pPr>
      <w:r>
        <w:t xml:space="preserve">b) zur Einbeziehung von Systemen und unabhängigen Kontrollstellen in die Nachweisführung und</w:t>
      </w:r>
    </w:p>
    <w:p>
      <w:pPr>
        <w:ind w:left="780"/>
      </w:pPr>
      <w:r>
        <w:t xml:space="preserve">c) zu den Anforderungen an die Anerkennung von Systemen und Zertifizierungsstellen sowie zum Akkreditierungsverfahren und zu den Maßnahmen zu der Überwachung von Systemen, Zertifizierungsstellen und Wirtschaftsteilnehmern, einschließlich erforderlicher Einsichts-, Probenentnahme- und Weisungsrechte sowie Auskunfts-, Herausgabe-, Duldungs- und Mitwirkungspflichten, einschließlich des Rechts der zuständigen Behörde oder Zertifizierungsstellen, während der Geschäfts- oder Betriebszeit, Grundstücke, Geschäfts-, Betriebs- und Lagerräume sowie Transportmittel zu betreten, soweit dies für die Überwachung oder Kontrolle erforderlich ist,</w:t>
      </w:r>
    </w:p>
    <w:p>
      <w:pPr>
        <w:ind w:left="420"/>
      </w:pPr>
      <w:r>
        <w:t xml:space="preserve">4. die Bundesanstalt für Landwirtschaft und Ernährung mit Aufgaben zu betrauen, die die Einhaltung der in der Rechtsverordnung nach den Nummern 1 bis 3 geregelten Anforderungen sicherstellen, insbesondere mit der näheren Bestimmung der in der Rechtsverordnung auf Grund der Nummern 1 und 2 geregelten Anforderungen sowie die Bundesanstalt für Landwirtschaft und Ernährung und in Bezug auf das Akkreditierungsverfahren die Stellen, die nach § 8 des Akkreditierungsstellengesetz vom 31. Juli 2009 (BGBl. I S. 2625), das zuletzt durch Artikel 47 des Gesetzes vom 23. Oktober 2024 (BGBl. 2024 I Nr. 323) geändert worden ist, in der jeweils geltenden Fassung, beliehen oder errichtet sind, mit der Wahrnehmung von Aufgaben nach Nummer 3.</w:t>
      </w:r>
    </w:p>
    <w:p>
      <w:r>
        <w:rPr>
          <w:color w:val="555555"/>
          <w:sz w:val="17"/>
        </w:rPr>
        <w:t xml:space="preserve">Zitiervorschlag: § 90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