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EEG 2014 — Technische Vorgaben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Betreiber von Anlagen oder KWK-Anlagen haben den ordnungsgemäßen technischen Zustand der Anlage und der jeweiligen elektrischen Anlage hinter der Hausanschlusssicherung sicherzustellen, so dass</w:t>
      </w:r>
    </w:p>
    <w:p>
      <w:pPr>
        <w:ind w:left="420"/>
      </w:pPr>
      <w:r>
        <w:t xml:space="preserve">1. der Messstellenbetreiber seine Verpflichtungen zum Einbau und Betrieb von intelligenten Messsystemen und Steuerungseinrichtungen nach den §§ 3, 29 und 45 des Messstellenbetriebsgesetzes erfüllen kann und</w:t>
      </w:r>
    </w:p>
    <w:p>
      <w:pPr>
        <w:ind w:left="420"/>
      </w:pPr>
      <w:r>
        <w:t xml:space="preserve">2. Netzbetreiber oder andere Berechtigte jederzeit die Ist-Einspeisung abrufen und die Einspeiseleistung bei Anlagen und KWK-Anlagen, die Strom in das Netz einspeisen, vollständig oder, sobald jeweils die technische Möglichkeit besteht, stufenweise oder stufenlos ferngesteuert regeln können.</w:t>
      </w:r>
    </w:p>
    <w:p>
      <w:r>
        <w:t xml:space="preserve">Dabei sind vorbehaltlich sonstiger Rechtsvorschriften die allgemein anerkannten Regeln der Technik zu beachten. Die Sätze 1 und 2 sind nicht anzuwenden auf Steckersolargeräte mit einer installierten Leistung von insgesamt bis zu 2 Kilowatt und mit einer Wechselrichterleistung von insgesamt bis zu 800 Voltampere, die hinter der Entnahmestelle eines Letztverbrauchers betrieben werden.</w:t>
      </w:r>
    </w:p>
    <w:p>
      <w:r>
        <w:t xml:space="preserve">(2) Bis zum Einbau von intelligenten Messsystemen und Steuerungseinrichtungen nach § 29 Absatz 1 Nummer 2 des Messstellenbetriebsgesetzes und zur erstmaligen erfolgreichen Testung der Anlage oder KWK-Anlage auf Ansteuerbarkeit durch den Netzbetreiber über diese neu eingebaute Technik sowie unbeschadet weiterer Vorgaben im Zusammenhang mit der netzorientierten Steuerung von steuerbaren Verbrauchseinrichtungen nach § 14a des Energiewirtschaftsgesetzes müssen</w:t>
      </w:r>
    </w:p>
    <w:p>
      <w:pPr>
        <w:ind w:left="420"/>
      </w:pPr>
      <w:r>
        <w:t xml:space="preserve">1. Betreiber von Anlagen oder KWK-Anlagen, die jeweils eine installierte Leistung von mindestens 100 Kilowatt haben, sicherstellen, dass diese Anlagen jeweils mit technischen Einrichtungen ausgestattet sind, mit denen der Netzbetreiber jederzeit die Ist-Einspeisung abrufen und die Einspeiseleistung ganz oder teilweise ferngesteuert reduzieren kann,</w:t>
      </w:r>
    </w:p>
    <w:p>
      <w:pPr>
        <w:ind w:left="420"/>
      </w:pPr>
      <w:r>
        <w:t xml:space="preserve">2. Betreiber von Anlagen oder KWK-Anlagen, die jeweils eine installierte Leistung ab 25 Kilowatt und von weniger als 100 Kilowatt haben,</w:t>
      </w:r>
    </w:p>
    <w:p>
      <w:pPr>
        <w:ind w:left="780"/>
      </w:pPr>
      <w:r>
        <w:t xml:space="preserve">a) sicherstellen, dass diese Anlagen jeweils mit technischen Einrichtungen ausgestattet sind, mit denen der Netzbetreiber jederzeit die Einspeiseleistung ganz oder teilweise ferngesteuert reduzieren kann, und</w:t>
      </w:r>
    </w:p>
    <w:p>
      <w:pPr>
        <w:ind w:left="780"/>
      </w:pPr>
      <w:r>
        <w:t xml:space="preserve">b) soweit es sich um Anlagen handelt, die der Einspeisevergütung oder dem Mieterstromzuschlag nach § 19 Absatz 1 Nummer 2 oder Nummer 3 zugeordnet sind, am Verknüpfungspunkt ihrer Anlage mit dem Netz die maximale Wirkleistungseinspeisung auf 60 Prozent der installierten Leistung begrenzen oder</w:t>
      </w:r>
    </w:p>
    <w:p>
      <w:pPr>
        <w:ind w:left="420"/>
      </w:pPr>
      <w:r>
        <w:t xml:space="preserve">3. Betreiber von Anlagen, die der Einspeisevergütung oder dem Mieterstromzuschlag nach § 19 Absatz 1 Nummer 2 oder Nummer 3 zugeordnet sind und die eine installierte Leistung von weniger als 25 Kilowatt haben, oder von KWK-Anlagen, die jeweils eine installierte Leistung von weniger als 25 Kilowatt haben, am Verknüpfungspunkt dieser Anlagen mit dem Netz jeweils die maximale Wirkleistungseinspeisung auf 60 Prozent der installierten Leistung begrenzen.</w:t>
      </w:r>
    </w:p>
    <w:p>
      <w:r>
        <w:t xml:space="preserve">Die Pflicht nach Satz 1 kann bei mehreren Anlagen oder KWK-Anlagen, die gleichartige erneuerbare Energien einsetzen und über denselben Verknüpfungspunkt mit dem Netz verbunden sind, auch mit einer gemeinsamen technischen Einrichtung erfüllt werden, wenn hiermit die jeweilige Pflicht nach Satz 1 für die Gesamtheit der Anlagen oder KWK-Anlagen erfüllt werden kann. Der Netzbetreiber hat die Testung auf Ansteuerbarkeit nach Satz 1 spätestens im Rahmen der nächsten auf den Einbau des intelligenten Messsystems und der Steuerungseinrichtungen nach § 29 Absatz 1 Nummer 2 des Messstellenbetriebsgesetzes folgenden, nach § 12 Absatz 2b Satz 1 des Energiewirtschaftsgesetzes durchzuführenden testweisen Anpassungen sowie Abrufung der Ist-Einspeisung vorzunehmen. Satz 1 Nummer 3 ist nicht anzuwenden auf Steckersolargeräte mit einer installierten Leistung von insgesamt bis zu 2 Kilowatt und mit einer Wechselrichterleistung von insgesamt bis zu 800 Voltampere, die hinter der Entnahmestelle eines Letztverbrauchers betrieben werden.</w:t>
      </w:r>
    </w:p>
    <w:p>
      <w:r>
        <w:t xml:space="preserve">(2a) Nach dem Einbau von intelligenten Messsystemen und Steuerungseinrichtungen nach § 29 Absatz 1 Nummer 2 des Messstellenbetriebsgesetzes hat der Netzbetreiber dem Anlagenbetreiber bis zu einer nach Absatz 2 Satz 1 erfolgreich durchgeführten Testung zum Ausgleich der entstehenden Aufwendungen für den Weiterbetrieb von technischen Einrichtungen nach Absatz 2 Satz 1 Nummer 1 und 2 ab dem 1. Januar 2028 für jedes angefangene Jahr einen Betrag von 100 Euro brutto zu zahlen. Die Zahlungspflicht entfällt, wenn der Netzbetreiber eine erfolglose Testung nach Satz 1 nicht zu vertreten hat.</w:t>
      </w:r>
    </w:p>
    <w:p>
      <w:r>
        <w:t xml:space="preserve">(3) Mehrere Solaranlagen gelten unabhängig von den Eigentumsverhältnissen und ausschließlich zum Zweck der Ermittlung der installierten Leistung im Sinne der Absätze 1, 1a und 2 als eine Anlage, wenn</w:t>
      </w:r>
    </w:p>
    <w:p>
      <w:pPr>
        <w:ind w:left="420"/>
      </w:pPr>
      <w:r>
        <w:t xml:space="preserve">1. sie sich auf demselben Grundstück oder Gebäude befinden und</w:t>
      </w:r>
    </w:p>
    <w:p>
      <w:pPr>
        <w:ind w:left="420"/>
      </w:pPr>
      <w:r>
        <w:t xml:space="preserve">2. sie innerhalb von zwölf aufeinanderfolgenden Kalendermonaten in Betrieb genommen worden sind.</w:t>
      </w:r>
    </w:p>
    <w:p>
      <w:r>
        <w:t xml:space="preserve">Abweichend von Satz 1 gelten mehrere Solaranlagen, die ausschließlich auf, an oder in einem Gebäude oder einer Lärmschutzwand angebracht sind und die nicht hinter demselben Netzverknüpfungspunkt betrieben werden, nicht als eine Anlage. Bei der Fiktion nach Satz 1 bleiben Steckersolargeräte unberücksichtigt,</w:t>
      </w:r>
    </w:p>
    <w:p>
      <w:pPr>
        <w:ind w:left="420"/>
      </w:pPr>
      <w:r>
        <w:t xml:space="preserve">1. deren installierte Leistung insgesamt bis zu 2 Kilowatt beträgt,</w:t>
      </w:r>
    </w:p>
    <w:p>
      <w:pPr>
        <w:ind w:left="420"/>
      </w:pPr>
      <w:r>
        <w:t xml:space="preserve">2. deren Wechselrichterleistung insgesamt bis zu 800 Voltampere beträgt und</w:t>
      </w:r>
    </w:p>
    <w:p>
      <w:pPr>
        <w:ind w:left="420"/>
      </w:pPr>
      <w:r>
        <w:t xml:space="preserve">3. die hinter der Entnahmestelle eines Letztverbrauchers betrieben werden.</w:t>
      </w:r>
    </w:p>
    <w:p>
      <w:r>
        <w:t xml:space="preserve">Entsteht eine Pflicht nach Absatz 1, 1a oder 2 für einen Anlagenbetreiber erst durch den Zubau von Anlagen eines anderen Anlagenbetreibers, kann er von diesem den Ersatz der daraus entstehenden Kosten verlangen.</w:t>
      </w:r>
    </w:p>
    <w:p>
      <w:r>
        <w:t xml:space="preserve">(4) Regelungen zur Weitverkehrsnetzanbindung von Anlagen in einer nach § 19 Absatz 2 Satz 3 des Messstellenbetriebsgesetzes erlassenen Verordnung sind unabhängig von den Vorgaben nach den Absätzen 1 bis 3 anzuwenden und lassen die sich hieraus ergebenden Pflichten unberührt.</w:t>
      </w:r>
    </w:p>
    <w:p>
      <w:r>
        <w:t xml:space="preserve">(5) Betreiber von Anlagen zur Erzeugung von Strom aus Biogas müssen sicherstellen, dass bei der Erzeugung des Biogases zusätzliche Gasverbrauchseinrichtungen zur Vermeidung einer Freisetzung von Biogas verwendet werden.</w:t>
      </w:r>
    </w:p>
    <w:p>
      <w:r>
        <w:t xml:space="preserve">(6) (weggefallen)</w:t>
      </w:r>
    </w:p>
    <w:p>
      <w:r>
        <w:t xml:space="preserve">(7) (weggefallen)</w:t>
      </w:r>
    </w:p>
    <w:p>
      <w:r>
        <w:t xml:space="preserve">(8) Betreiber von Windenergieanlagen an Land, die nach den Vorgaben des Luftverkehrsrechts zur Nachtkennzeichnung verpflichtet sind, müssen ihre Anlagen mit einer Einrichtung zur bedarfsgesteuerten Nachtkennzeichnung von Luftfahrthindernissen ausstatten. Auf Betreiber von Windenergieanlagen auf See ist Satz 1 anzuwenden, wenn sich die Windenergieanlage befindet</w:t>
      </w:r>
    </w:p>
    <w:p>
      <w:pPr>
        <w:ind w:left="420"/>
      </w:pPr>
      <w:r>
        <w:t xml:space="preserve">1. im Küstenmeer,</w:t>
      </w:r>
    </w:p>
    <w:p>
      <w:pPr>
        <w:ind w:left="420"/>
      </w:pPr>
      <w:r>
        <w:t xml:space="preserve">2. in der Zone 1 der ausschließlichen Wirtschaftszone der Nordsee wie sie in dem nach § 5 des Windenergie-auf-See-Gesetzes durch das Bundesamt für Seeschifffahrt und Hydrographie bekannt gemachten Flächenentwicklungsplan ausgewiesen wird,</w:t>
      </w:r>
    </w:p>
    <w:p>
      <w:pPr>
        <w:ind w:left="420"/>
      </w:pPr>
      <w:r>
        <w:t xml:space="preserve">3. in der ausschließlichen Wirtschaftszone der Ostsee.</w:t>
      </w:r>
    </w:p>
    <w:p>
      <w:r>
        <w:t xml:space="preserve">Die Pflicht nach Satz 1 gilt ab dem 1. Januar 2025. Betreiber von Windenergieanlagen, die vor dem Ablauf des 31. Dezember 2024 in Betrieb genommen wurden, bei denen die Pflicht nach Satz 1 nicht erfüllt wurde und für die keine Ausnahme nach Satz 6 zugelassen wurde, sind verpflichtet, unverzüglich einen vollständigen und prüffähigen Antrag auf Zulassung einer bedarfsgesteuerten Nachtkennzeichnung bei der zuständigen Landesbehörde zu stellen. Die Pflicht nach Satz 1 kann auch durch eine Einrichtung zur Nutzung von Signalen von Transpondern von Luftverkehrsfahrzeugen erfüllt werden. Von der Pflicht nach Satz 1 kann die Bundesnetzagentur auf Antrag im Einzelfall insbesondere für kleine Windparks Ausnahmen zulassen, sofern die Erfüllung der Pflicht wirtschaftlich unzumutbar ist.</w:t>
      </w:r>
    </w:p>
    <w:p>
      <w:r>
        <w:rPr>
          <w:color w:val="555555"/>
          <w:sz w:val="17"/>
        </w:rPr>
        <w:t xml:space="preserve">Zitiervorschlag: § 9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