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EEG 2014 — Verordnungsermächtigung zur Stromerzeugung aus Biomasse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Bundesregierung wird ermächtigt, durch Rechtsverordnung ohne Zustimmung des Bundesrates im Anwendungsbereich der §§ 42 bis 44 zu regeln,</w:t>
      </w:r>
    </w:p>
    <w:p>
      <w:pPr>
        <w:ind w:left="420"/>
      </w:pPr>
      <w:r>
        <w:t xml:space="preserve">1. welche Stoffe als Biomasse gelten und</w:t>
      </w:r>
    </w:p>
    <w:p>
      <w:pPr>
        <w:ind w:left="420"/>
      </w:pPr>
      <w:r>
        <w:t xml:space="preserve">2. welche technischen Verfahren zur Stromerzeugung angewandt werden dürfen.</w:t>
      </w:r>
    </w:p>
    <w:p>
      <w:r>
        <w:t xml:space="preserve">(2) Die Bundesregierung wird ferner ermächtigt, durch Rechtsverordnung ohne Zustimmung des Bundesrates im Anwendungsbereich des § 44b Absatz 4 Nummer 2 Anforderungen an ein Massenbilanzsystem zur Rückverfolgung von aus einem Erdgasnetz entnommenem Gas zu regeln.</w:t>
      </w:r>
    </w:p>
    <w:p>
      <w:r>
        <w:rPr>
          <w:color w:val="555555"/>
          <w:sz w:val="17"/>
        </w:rPr>
        <w:t xml:space="preserve">Zitiervorschlag: § 89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