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88c EEG 2014 — Verordnungsermächtigung zur Zielerreichung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Soweit das Monitoring zur Zielerreichung nach § 98 ergibt, dass die erneuerbaren Energien nicht in der für die Erreichung des Ziels nach § 1 Absatz 2 erforderlichen Geschwindigkeit ausgebaut werden, wird die Bundesregierung ermächtigt, durch Rechtsverordnung ohne Zustimmung des Bundesrates</w:t>
      </w:r>
    </w:p>
    <w:p>
      <w:pPr>
        <w:ind w:left="420"/>
      </w:pPr>
      <w:r>
        <w:t xml:space="preserve">1. den Ausbaupfad nach § 4 neu festzusetzen,</w:t>
      </w:r>
    </w:p>
    <w:p>
      <w:pPr>
        <w:ind w:left="420"/>
      </w:pPr>
      <w:r>
        <w:t xml:space="preserve">2. die jährlichen Zwischenziele für die Stromerzeugung aus erneuerbaren Energien nach § 4a neu festzusetzen,</w:t>
      </w:r>
    </w:p>
    <w:p>
      <w:pPr>
        <w:ind w:left="420"/>
      </w:pPr>
      <w:r>
        <w:t xml:space="preserve">3. im Anwendungsbereich der §§ 28 bis 28d Ausschreibungsvolumen für einzelne oder mehrere Kalenderjahre oder die Verteilung der Ausschreibungsvolumen auf die Gebotstermine eines Kalenderjahres neu festzusetzen; hierbei kann auch die Anzahl der Gebotstermine eines Kalenderjahres abweichend geregelt werden, und</w:t>
      </w:r>
    </w:p>
    <w:p>
      <w:pPr>
        <w:ind w:left="420"/>
      </w:pPr>
      <w:r>
        <w:t xml:space="preserve">4. die Höchstwerte nach den §§ 36b, 37b, 38e, 39b oder § 39l dieses Gesetzes oder nach § 10 der Innovationsausschreibungsverordnung neu festzusetzen.</w:t>
      </w:r>
    </w:p>
    <w:p>
      <w:r>
        <w:rPr>
          <w:color w:val="555555"/>
          <w:sz w:val="17"/>
        </w:rPr>
        <w:t xml:space="preserve">Zitiervorschlag: § 88c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https://recht.nulegal.eu/gesetze/EEG%202014/88c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