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86 EEG 2014 — Bußgeldvorschriften</w:t>
      </w:r>
    </w:p>
    <w:p>
      <w:r>
        <w:rPr>
          <w:color w:val="555555"/>
          <w:sz w:val="18"/>
        </w:rPr>
        <w:t xml:space="preserve">Erneuerbare-Energien-Gesetz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entgegen § 80 Absatz 1 Satz 1 Strom oder Gas verkauft, überlässt oder veräußert,</w:t>
      </w:r>
    </w:p>
    <w:p>
      <w:pPr>
        <w:ind w:left="420"/>
      </w:pPr>
      <w:r>
        <w:t xml:space="preserve">1a. die Stromsteuerbefreiung entgegen § 71 Absatz 1 Nummer 2 Buchstabe a nicht bis zum Ende eines Kalenderjahres für das vorangegangene Kalenderjahr mitteilt oder eine falsche Mitteilung abgibt.</w:t>
      </w:r>
    </w:p>
    <w:p>
      <w:pPr>
        <w:ind w:left="420"/>
      </w:pPr>
      <w:r>
        <w:t xml:space="preserve">2. (weggefallen)</w:t>
      </w:r>
    </w:p>
    <w:p>
      <w:pPr>
        <w:ind w:left="420"/>
      </w:pPr>
      <w:r>
        <w:t xml:space="preserve">3. einer vollziehbaren Anordnung nach § 85 Absatz 3 in Verbindung mit § 65 Absatz 1 oder Absatz 2 oder § 69 Absatz 7 Satz 1 oder Absatz 8 Satz 1 des Energiewirtschaftsgesetzes zuwiderhandelt oder</w:t>
      </w:r>
    </w:p>
    <w:p>
      <w:pPr>
        <w:ind w:left="420"/>
      </w:pPr>
      <w:r>
        <w:t xml:space="preserve">4. einer Rechtverordnung</w:t>
      </w:r>
    </w:p>
    <w:p>
      <w:pPr>
        <w:ind w:left="780"/>
      </w:pPr>
      <w:r>
        <w:t xml:space="preserve">a) nach § 90 Nummer 3,</w:t>
      </w:r>
    </w:p>
    <w:p>
      <w:pPr>
        <w:ind w:left="780"/>
      </w:pPr>
      <w:r>
        <w:t xml:space="preserve">b) nach § 92 Nummer 1,</w:t>
      </w:r>
    </w:p>
    <w:p>
      <w:pPr>
        <w:ind w:left="780"/>
      </w:pPr>
      <w:r>
        <w:t xml:space="preserve">c) nach § 92 Nummer 3 oder Nummer 4</w:t>
      </w:r>
    </w:p>
    <w:p>
      <w:pPr>
        <w:ind w:left="420"/>
      </w:pPr>
      <w:r>
        <w:t xml:space="preserve">oder einer vollziehbaren Anordnung auf Grund einer solchen Rechtsverordnung zuwiderhandelt, soweit die Rechtsverordnung für einen bestimmten Tatbestand auf diese Bußgeldvorschrift verweist.</w:t>
      </w:r>
    </w:p>
    <w:p>
      <w:r>
        <w:t xml:space="preserve">(2) Die Ordnungswidrigkeit kann in den Fällen des Absatzes 1 Nummer 4 Buchstabe a und c mit einer Geldbuße bis zu fünfzigtausend Euro und in den übrigen Fällen mit einer Geldbuße bis zu zweihunderttausend Euro geahndet werden.</w:t>
      </w:r>
    </w:p>
    <w:p>
      <w:r>
        <w:t xml:space="preserve">(3) Verwaltungsbehörde im Sinne des § 36 Absatz 1 Nummer 1 des Gesetzes über Ordnungswidrigkeiten ist</w:t>
      </w:r>
    </w:p>
    <w:p>
      <w:pPr>
        <w:ind w:left="420"/>
      </w:pPr>
      <w:r>
        <w:t xml:space="preserve">1. die Bundesnetzagentur in den Fällen des Absatzes 1 Nummer 1a oder Nummer 3,</w:t>
      </w:r>
    </w:p>
    <w:p>
      <w:pPr>
        <w:ind w:left="420"/>
      </w:pPr>
      <w:r>
        <w:t xml:space="preserve">2. die Bundesanstalt für Landwirtschaft und Ernährung in den Fällen des Absatzes 1 Nummer 4 Buchstabe a und</w:t>
      </w:r>
    </w:p>
    <w:p>
      <w:pPr>
        <w:ind w:left="420"/>
      </w:pPr>
      <w:r>
        <w:t xml:space="preserve">3. das Umweltbundesamt in den Fällen des Absatzes 1 Nummer 4 Buchstabe b oder Buchstabe c.</w:t>
      </w:r>
    </w:p>
    <w:p>
      <w:r>
        <w:rPr>
          <w:color w:val="555555"/>
          <w:sz w:val="17"/>
        </w:rPr>
        <w:t xml:space="preserve">Zitiervorschlag: § 86 EEG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https://recht.nulegal.eu/gesetze/EEG%202014/86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