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85d EEG 2014 — Festlegung zu flexibler Speichernutzung</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Die Bundesnetzagentur kann unter Beachtung der Schutzprofile und Technischen Richtlinien des Bundesamtes für Sicherheit in der Informationstechnik nach dem Messstellenbetriebsgesetz und im Benehmen mit dem Bundesamt für Sicherheit in der Informationstechnik und der Physikalisch-Technischen Bundesanstalt Festlegungen nach § 29 Absatz 1 des Energiewirtschaftsgesetzes treffen</w:t>
      </w:r>
    </w:p>
    <w:p>
      <w:pPr>
        <w:ind w:left="420"/>
      </w:pPr>
      <w:r>
        <w:t xml:space="preserve">1. zu den näheren Anforderungen an die Bestimmung und den Nachweis der Strommengen, auf die sich die Ansprüche nach § 19 Absatz 3b und 3c beziehen, einschließlich einer sicheren, automatisierten und massengeschäftstauglichen Erhebung, Ermittlung, Zuordnung, Abgrenzung, Verarbeitung und Übermittlung der erforderlichen Werte, wobei hinsichtlich erforderlicher Messwerte die geltenden mess- und eichrechtlichen Anforderungen zu beachten sind, und</w:t>
      </w:r>
    </w:p>
    <w:p>
      <w:pPr>
        <w:ind w:left="420"/>
      </w:pPr>
      <w:r>
        <w:t xml:space="preserve">2. zu den näheren Bedingungen für ein erstmaliges Geltendmachen oder einen Wechsel in die Optionen nach § 19 Absatz 3b und 3c, einschließlich der Bestimmung der maßgeblichen Strommenge für den Anspruch nach § 19 Absatz 3c bei einer unterjährigen Inanspruchnahme.</w:t>
      </w:r>
    </w:p>
    <w:p>
      <w:r>
        <w:t xml:space="preserve">Festlegungen nach Satz 1 trifft die Bundesnetzagentur erstmals bis zum Ablauf des 30. Juni 2026.</w:t>
      </w:r>
    </w:p>
    <w:p>
      <w:r>
        <w:rPr>
          <w:color w:val="555555"/>
          <w:sz w:val="17"/>
        </w:rPr>
        <w:t xml:space="preserve">Zitiervorschlag: § 85d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