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85b EEG 2014 — Auskunftsrecht und Datenübermittlung</w:t>
      </w:r>
    </w:p>
    <w:p>
      <w:r>
        <w:rPr>
          <w:color w:val="555555"/>
          <w:sz w:val="18"/>
        </w:rPr>
        <w:t xml:space="preserve">Erneuerbare-Energien-Gesetz</w:t>
      </w:r>
    </w:p>
    <w:p>
      <w:r>
        <w:rPr>
          <w:color w:val="555555"/>
          <w:sz w:val="18"/>
        </w:rPr>
        <w:t xml:space="preserve">Stand: 10.06.2019 (konsolidierte Textfassung, kein amtliches Inkrafttretensdatum)</w:t>
      </w:r>
    </w:p>
    <w:p>
      <w:r>
        <w:t xml:space="preserve">(1) Die Bundesnetzagentur ist bei Vorliegen von Anhaltspunkten für Falschangaben eines Bieters in einem Ausschreibungsverfahren und zum Zweck von Stichprobenkontrollen der Richtigkeit der Angaben von Bietern in einem Ausschreibungsverfahren berechtigt, von den für das immissionsschutzrechtliche Genehmigungsverfahren zuständigen Behörden unter den im Gebot angegebenen Aktenzeichen Auskünfte darüber zu verlangen,</w:t>
      </w:r>
    </w:p>
    <w:p>
      <w:pPr>
        <w:ind w:left="420"/>
      </w:pPr>
      <w:r>
        <w:t xml:space="preserve">1. ob und zu welchem Zeitpunkt unter dem Aktenzeichen eine Genehmigung erteilt worden ist und wer Genehmigungsinhaber ist,</w:t>
      </w:r>
    </w:p>
    <w:p>
      <w:pPr>
        <w:ind w:left="420"/>
      </w:pPr>
      <w:r>
        <w:t xml:space="preserve">2. auf welchen Standort, welche Anlagenzahl und welche installierte Leistung sich die Genehmigung bezieht,</w:t>
      </w:r>
    </w:p>
    <w:p>
      <w:pPr>
        <w:ind w:left="420"/>
      </w:pPr>
      <w:r>
        <w:t xml:space="preserve">3. welche Fristen nach § 18 Absatz 1 Nummer 1 des Bundes-Immissionsschutzgesetzes für den Beginn von Errichtung oder Betrieb der Anlagen gesetzt und ob diese nachträglich verlängert worden sind,</w:t>
      </w:r>
    </w:p>
    <w:p>
      <w:pPr>
        <w:ind w:left="420"/>
      </w:pPr>
      <w:r>
        <w:t xml:space="preserve">4. ob die Genehmigung ganz oder teilweise bestandskräftig geworden ist oder ob gegen diese oder Teile dieser Genehmigung Rechtsbehelfe Dritter anhängig sind,</w:t>
      </w:r>
    </w:p>
    <w:p>
      <w:pPr>
        <w:ind w:left="420"/>
      </w:pPr>
      <w:r>
        <w:t xml:space="preserve">5. ob und inwieweit hinsichtlich der jeweiligen Genehmigung durch die zuständige Behörde oder die zuständigen Gerichte die sofortige Vollziehung angeordnet worden ist und ob und inwieweit die zuständigen Gerichte eine Anordnung der sofortigen Vollziehung bestätigt oder aufgehoben haben und</w:t>
      </w:r>
    </w:p>
    <w:p>
      <w:pPr>
        <w:ind w:left="420"/>
      </w:pPr>
      <w:r>
        <w:t xml:space="preserve">6. wann die Genehmigung ausläuft und die Anlage zurückgebaut werden muss.</w:t>
      </w:r>
    </w:p>
    <w:p>
      <w:r>
        <w:t xml:space="preserve">(2) Die für das immissionsschutzrechtliche Genehmigungsverfahren zuständigen Behörden sind zur Erteilung der Auskünfte im Sinn des Absatzes 1 verpflichtet. Die nach § 28 des Umweltauditgesetzes mit den Aufgaben der Zulassungsstelle für Umweltgutachter beliehene Stelle darf dem Netzbetreiber, dem Anlagenbetreiber und der Bundesnetzagentur Informationen über Zulassungs- oder Aufsichtsmaßnahmen, die sie gegenüber einem Umweltgutachter ergriffen hat und die sich auf die Eignung erstatteter Gutachten, Bestätigungen oder Bescheinigungen nach diesem Gesetz auswirken können, übermitteln.</w:t>
      </w:r>
    </w:p>
    <w:p>
      <w:r>
        <w:rPr>
          <w:color w:val="555555"/>
          <w:sz w:val="17"/>
        </w:rPr>
        <w:t xml:space="preserve">Zitiervorschlag: § 85b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