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EEG 2014 — Aufgaben der Bundesnetzagentur</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Die Bundesnetzagentur hat vorbehaltlich weiterer Aufgaben, die ihr durch Rechtsverordnung aufgrund dieses Gesetzes übertragen werden, die Aufgaben,</w:t>
      </w:r>
    </w:p>
    <w:p>
      <w:pPr>
        <w:ind w:left="420"/>
      </w:pPr>
      <w:r>
        <w:t xml:space="preserve">1. die Ausschreibungen nach den §§ 28 bis § 39q durchzuführen,</w:t>
      </w:r>
    </w:p>
    <w:p>
      <w:pPr>
        <w:ind w:left="420"/>
      </w:pPr>
      <w:r>
        <w:t xml:space="preserve">2. sicherzustellen, dass die Transparenzpflichten mit Blick auf Zahlungen an Anlagen erfüllt werden,</w:t>
      </w:r>
    </w:p>
    <w:p>
      <w:pPr>
        <w:ind w:left="420"/>
      </w:pPr>
      <w:r>
        <w:t xml:space="preserve">3. zu überwachen, dass</w:t>
      </w:r>
    </w:p>
    <w:p>
      <w:pPr>
        <w:ind w:left="780"/>
      </w:pPr>
      <w:r>
        <w:t xml:space="preserve">a) die Netzbetreiber Anlagen nach § 8 an ihr Netz anschließen,</w:t>
      </w:r>
    </w:p>
    <w:p>
      <w:pPr>
        <w:ind w:left="780"/>
      </w:pPr>
      <w:r>
        <w:t xml:space="preserve">b) die Übertragungsnetzbetreiber den nach § 19 Absatz 1 vergüteten oder den nach § 13a Absatz 1a des Energiewirtschaftsgesetzes bilanziell ausgeglichenen Strom nach § 57 vermarkten und die Vorgaben der Erneuerbare-Energien-Verordnung einhalten,</w:t>
      </w:r>
    </w:p>
    <w:p>
      <w:pPr>
        <w:ind w:left="780"/>
      </w:pPr>
      <w:r>
        <w:t xml:space="preserve">c) nur die Zahlungen nach den §§ 19 bis 55b geleistet werden,</w:t>
      </w:r>
    </w:p>
    <w:p>
      <w:pPr>
        <w:ind w:left="780"/>
      </w:pPr>
      <w:r>
        <w:t xml:space="preserve">d) Zahlungen nach den §§ 52, 55 und 55b einschließlich etwaiger Verzugszinsen ordnungsgemäß ermittelt, erhoben und vereinnahmt werden und</w:t>
      </w:r>
    </w:p>
    <w:p>
      <w:pPr>
        <w:ind w:left="780"/>
      </w:pPr>
      <w:r>
        <w:t xml:space="preserve">e) die Angaben nach den §§ 70 bis 73 und 76 übermittelt und nach den §§ 74 und 77 veröffentlicht werden.</w:t>
      </w:r>
    </w:p>
    <w:p>
      <w:r>
        <w:t xml:space="preserve">(2) Die Bundesnetzagentur kann unter Berücksichtigung des Ziels nach § 1 Festlegungen nach § 29 Absatz 1 des Energiewirtschaftsgesetzes treffen</w:t>
      </w:r>
    </w:p>
    <w:p>
      <w:pPr>
        <w:ind w:left="420"/>
      </w:pPr>
      <w:r>
        <w:t xml:space="preserve">1. zu den technischen Einrichtungen nach § 9 Absatz 1 bis 2, insbesondere zu den Datenformaten,</w:t>
      </w:r>
    </w:p>
    <w:p>
      <w:pPr>
        <w:ind w:left="420"/>
      </w:pPr>
      <w:r>
        <w:t xml:space="preserve">2. zur Nachweisführung nach § 10b Absatz 5,</w:t>
      </w:r>
    </w:p>
    <w:p>
      <w:pPr>
        <w:ind w:left="420"/>
      </w:pPr>
      <w:r>
        <w:t xml:space="preserve">3. zur Abwicklung von Zuordnungen und Wechseln nach den §§ 21b und 21c, insbesondere zu Verfahren, Fristen und Datenformaten,</w:t>
      </w:r>
    </w:p>
    <w:p>
      <w:pPr>
        <w:ind w:left="420"/>
      </w:pPr>
      <w:r>
        <w:t xml:space="preserve">4. abweichend von § 30 zu Anforderungen an die Gebote und die Bieter, um die Ernsthaftigkeit und Verbindlichkeit der Gebote zu gewährleisten,</w:t>
      </w:r>
    </w:p>
    <w:p>
      <w:pPr>
        <w:ind w:left="420"/>
      </w:pPr>
      <w:r>
        <w:t xml:space="preserve">5. zur standardisierten und massengeschäftstauglichen Abwicklung der Direktvermarktung,</w:t>
      </w:r>
    </w:p>
    <w:p>
      <w:pPr>
        <w:ind w:left="420"/>
      </w:pPr>
      <w:r>
        <w:t xml:space="preserve">6. zu Nachweisen, die der Bieter erbringen muss, um zu belegen, dass die Fläche, auf der die Freiflächenanlage nach § 37 Absatz 1 Nummer 2 Buchstabe h geplant und nach § 38a Absatz 1 Nummer 3 errichtet worden ist, tatsächlich zum Zeitpunkt des Beschlusses über die Aufstellung oder Änderung des Bebauungsplans als Ackerland genutzt worden ist,</w:t>
      </w:r>
    </w:p>
    <w:p>
      <w:pPr>
        <w:ind w:left="420"/>
      </w:pPr>
      <w:r>
        <w:t xml:space="preserve">6a. zu den Nachweisen zur Erfüllung der Anforderung nach § 37 Absatz 1a und § 48 Absatz 6, wobei sie hinsichtlich der Art der geeigneten Nachweise und der Häufigkeit der Nachweisführung von § 38a Absatz 3 Satz 4 und § 48 Absatz 6 abweichende Vorgaben bestimmen kann,</w:t>
      </w:r>
    </w:p>
    <w:p>
      <w:pPr>
        <w:ind w:left="420"/>
      </w:pPr>
      <w:r>
        <w:t xml:space="preserve">7. zusätzlich zu den Ausschlussgründen nach § 33 Absatz 2 einen Ausschlussgrund für Gebote auf Standorten vorzusehen, soweit ein Gebot für diesen Standort in einer vorangegangenen Ausschreibung einen Zuschlag erhalten hat und der Zuschlag erloschen ist,</w:t>
      </w:r>
    </w:p>
    <w:p>
      <w:pPr>
        <w:ind w:left="420"/>
      </w:pPr>
      <w:r>
        <w:t xml:space="preserve">8. zu Angaben, die zusätzlich mit dem Antrag des Bieters auf Ausstellung der Zahlungsberechtigung der Bundesnetzagentur übermittelt werden müssen,</w:t>
      </w:r>
    </w:p>
    <w:p>
      <w:pPr>
        <w:ind w:left="420"/>
      </w:pPr>
      <w:r>
        <w:t xml:space="preserve">9. zu Anforderungen an Nachweise, die der Netzbetreiber nach § 30, § 36, § 37, § 38, § 38a, § 38c, § 39, § 39g, § 39k oder § 39m vom Anlagenbetreiber zum Nachweis des Vorliegens der Anspruchsvoraussetzungen verlangen muss,</w:t>
      </w:r>
    </w:p>
    <w:p>
      <w:pPr>
        <w:ind w:left="420"/>
      </w:pPr>
      <w:r>
        <w:t xml:space="preserve">10. abweichend von § 3 Nummer 51 zur Ermittlung des Zuschlagswerts, insbesondere zu einer Umstellung auf ein Einheitspreisverfahren,</w:t>
      </w:r>
    </w:p>
    <w:p>
      <w:pPr>
        <w:ind w:left="420"/>
      </w:pPr>
      <w:r>
        <w:t xml:space="preserve">11. abweichend von § 37a die Sicherheit und Pönale auf bis 100 Euro pro Kilowatt der Gebotsmenge zu erhöhen,</w:t>
      </w:r>
    </w:p>
    <w:p>
      <w:pPr>
        <w:ind w:left="420"/>
      </w:pPr>
      <w:r>
        <w:t xml:space="preserve">12. zur Anwendbarkeit von § 51 Absatz 1 auf Anlagen mit einer installierten Leistung von weniger als 2 Kilowatt, wenn die technische Ausstattung dieser Anlagen und die Abrechnungsprozesse der Netzbetreiber hinreichend massengeschäftstauglich und digitalisiert sind, um eine Anwendbarkeit des § 51 Absatz 1 bei diesen Anlagen mit angemessenem Aufwand abzubilden,</w:t>
      </w:r>
    </w:p>
    <w:p>
      <w:pPr>
        <w:ind w:left="420"/>
      </w:pPr>
      <w:r>
        <w:t xml:space="preserve">13. um abweichend von § 51a Absatz 2 Satz 1 den Faktor zur Ermittlung der Volllastviertelstunden anzupassen,</w:t>
      </w:r>
    </w:p>
    <w:p>
      <w:pPr>
        <w:ind w:left="420"/>
      </w:pPr>
      <w:r>
        <w:t xml:space="preserve">14. zur Berücksichtigung von Strom aus solarer Strahlungsenergie, der selbst verbraucht wird, bei den Veröffentlichungspflichten nach § 73 und bei der Berechnung des Marktwerts von Strom aus solarer Strahlungsenergie nach Anlage 1 Nummer 3.3.4 und 4.3.4 zu diesem Gesetz, jeweils insbesondere zu Berechnung oder Abschätzung der Strommengen,</w:t>
      </w:r>
    </w:p>
    <w:p>
      <w:pPr>
        <w:ind w:left="420"/>
      </w:pPr>
      <w:r>
        <w:t xml:space="preserve">15. abweichend von § 39l zur Ermittlung eines entsprechend § 39i Absatz 3 degressiv auszugestaltenden anzulegenden Werts für Biomethananlagen nach § 39j, soweit in ihnen Biogas eingesetzt wird, das in dem jeweiligen Kalenderjahr durch anaerobe Vergärung von Biomasse im Sinn der Biomasseverordnung mit einem Anteil von getrennt erfassten Bioabfällen im Sinn der Abfallschlüssel Nummer 20 02 01, 20 03 01 und 20 03 02 der Nummer 1 Buchstabe a des Anhangs 1 der Bioabfallverordnung gewonnen worden ist, für den aus diesen Bioabfällen erzeugten Strom, einschließlich der entsprechenden Nachweisanforderungen und</w:t>
      </w:r>
    </w:p>
    <w:p>
      <w:pPr>
        <w:ind w:left="420"/>
      </w:pPr>
      <w:r>
        <w:t xml:space="preserve">16. abweichend von einer Rechtsverordnung nach § 91 Nummer 1 Buchstabe c zur Preissetzung von preislimitierten Geboten, soweit sich Anhaltspunkte dafür ergeben haben, dass die Preissetzung anderer Marktteilnehmer zu deutlich niedrigeren oder höheren Preisen abgeschlossen wird als zu der in einer Rechtsverordnung nach § 91 Nummer 1 Buchstabe c geregelten Preissetzung durch den Übertragungsnetzbetreiber.</w:t>
      </w:r>
    </w:p>
    <w:p>
      <w:r>
        <w:t xml:space="preserve">(3) Für die Wahrnehmung der Aufgaben der Bundesnetzagentur nach diesem Gesetz und den auf Grund dieses Gesetzes ergangenen Rechtsverordnungen sind die Bestimmungen des Teils 8 des Energiewirtschaftsgesetzes mit Ausnahme des § 69 Absatz 1 Satz 2 und Absatz 10, des § 74 Satz 1 und 2, der §§ 91 und 95 bis 101 sowie des Abschnitts 6 entsprechend anzuwenden. Die Befugnisse nach Satz 1 gelten gegenüber Personen, die keine Unternehmen sind, entsprechend.</w:t>
      </w:r>
    </w:p>
    <w:p>
      <w:r>
        <w:rPr>
          <w:color w:val="555555"/>
          <w:sz w:val="17"/>
        </w:rPr>
        <w:t xml:space="preserve">Zitiervorschlag: § 85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