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EEG 2014 — Einstweiliger Rechtsschutz</w:t>
      </w:r>
    </w:p>
    <w:p>
      <w:r>
        <w:rPr>
          <w:color w:val="555555"/>
          <w:sz w:val="18"/>
        </w:rPr>
        <w:t xml:space="preserve">Erneuerbare-Energien-Gesetz</w:t>
      </w:r>
    </w:p>
    <w:p>
      <w:r>
        <w:rPr>
          <w:color w:val="555555"/>
          <w:sz w:val="18"/>
        </w:rPr>
        <w:t xml:space="preserve">Stand: 10.06.2019 (konsolidierte Textfassung, kein amtliches Inkrafttretensdatum)</w:t>
      </w:r>
    </w:p>
    <w:p>
      <w:r>
        <w:t xml:space="preserve">(1) Auf Antrag des Anlagenbetreibers kann das für die Hauptsache zuständige Gericht bereits vor Errichtung der Anlage unter Berücksichtigung der Umstände des Einzelfalles durch einstweilige Verfügung regeln, dass der Schuldner der in den §§ 8, 11, 12, 19 und 50 bezeichneten Ansprüche Auskunft erteilen, die Anlage vorläufig anschließen, sein Netz unverzüglich optimieren, verstärken oder ausbauen, den Strom abnehmen und einen als billig und gerecht zu erachtenden Betrag als Abschlagszahlung auf den Anspruch nach § 19 Absatz 1 oder § 50 leisten muss.</w:t>
      </w:r>
    </w:p>
    <w:p>
      <w:r>
        <w:t xml:space="preserve">(2) Die einstweilige Verfügung kann erlassen werden, auch wenn die in den §§ 935 und 940 der Zivilprozessordnung bezeichneten Voraussetzungen nicht vorliegen.</w:t>
      </w:r>
    </w:p>
    <w:p>
      <w:r>
        <w:rPr>
          <w:color w:val="555555"/>
          <w:sz w:val="17"/>
        </w:rPr>
        <w:t xml:space="preserve">Zitiervorschlag: § 83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