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EEG 2014 — Gesetzliches Schuldverhältnis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Netzbetreiber dürfen die Erfüllung ihrer Pflichten nach diesem Gesetz nicht vom Abschluss eines Vertrages abhängig machen.</w:t>
      </w:r>
    </w:p>
    <w:p>
      <w:r>
        <w:t xml:space="preserve">(2) Von den Bestimmungen dieses Gesetzes abweichende vertragliche Regelungen</w:t>
      </w:r>
    </w:p>
    <w:p>
      <w:pPr>
        <w:ind w:left="420"/>
      </w:pPr>
      <w:r>
        <w:t xml:space="preserve">1. müssen klar und verständlich sein,</w:t>
      </w:r>
    </w:p>
    <w:p>
      <w:pPr>
        <w:ind w:left="420"/>
      </w:pPr>
      <w:r>
        <w:t xml:space="preserve">2. dürfen keinen Vertragspartner unangemessen benachteiligen,</w:t>
      </w:r>
    </w:p>
    <w:p>
      <w:pPr>
        <w:ind w:left="420"/>
      </w:pPr>
      <w:r>
        <w:t xml:space="preserve">3. dürfen nicht zu höheren als im Teil 3 vorgesehenen Zahlungen führen und</w:t>
      </w:r>
    </w:p>
    <w:p>
      <w:pPr>
        <w:ind w:left="420"/>
      </w:pPr>
      <w:r>
        <w:t xml:space="preserve">4. müssen mit dem wesentlichen Grundgedanken der gesetzlichen Regelung, von der abgewichen wird, vereinbar sein.</w:t>
      </w:r>
    </w:p>
    <w:p>
      <w:r>
        <w:rPr>
          <w:color w:val="555555"/>
          <w:sz w:val="17"/>
        </w:rPr>
        <w:t xml:space="preserve">Zitiervorschlag: § 7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