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EEG 2014 — Weitere Bestimmungen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Finanzierung der Ausgaben der Netzbetreiber nach diesem Gesetz bestimmt sich nach dem Energiefinanzierungsgesetz.</w:t>
      </w:r>
    </w:p>
    <w:p>
      <w:r>
        <w:t xml:space="preserve">(2) Die den Übertragungsnetzbetreibern nach § 20 Nummer 2 eingeräumten oder nach § 56 Nummer 2 weitergeleiteten Rechte, den vergüteten Strom als „Strom aus erneuerbaren Energien, gefördert nach dem EEG“ zu kennzeichnen, erlöschen; die §§ 42 und 42a des Energiewirtschaftsgesetzes bleiben unberührt.</w:t>
      </w:r>
    </w:p>
    <w:p>
      <w:r>
        <w:rPr>
          <w:color w:val="555555"/>
          <w:sz w:val="17"/>
        </w:rPr>
        <w:t xml:space="preserve">Zitiervorschlag: § 58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