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EEG 2014 — Weitergabe an den Übertragungsnetzbetreiber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Netzbetreiber müssen unverzüglich an den vorgelagerten Übertragungsnetzbetreiber weiterleiten:</w:t>
      </w:r>
    </w:p>
    <w:p>
      <w:pPr>
        <w:ind w:left="420"/>
      </w:pPr>
      <w:r>
        <w:t xml:space="preserve">1. den nach § 19 Absatz 1 Nummer 2 vergüteten Strom und</w:t>
      </w:r>
    </w:p>
    <w:p>
      <w:pPr>
        <w:ind w:left="420"/>
      </w:pPr>
      <w:r>
        <w:t xml:space="preserve">2. für den nach § 19 Absatz 1 Nummer 2 vergüteten Strom sowie für den gesamten Strom, für den sie Zahlungen an die Anlagenbetreiber leisten, das Recht, diesen Strom als „Strom aus erneuerbaren Energien, gefördert nach dem EEG“ zu kennzeichnen.</w:t>
      </w:r>
    </w:p>
    <w:p>
      <w:r>
        <w:rPr>
          <w:color w:val="555555"/>
          <w:sz w:val="17"/>
        </w:rPr>
        <w:t xml:space="preserve">Zitiervorschlag: § 56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