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55a EEG 2014 — Erstattung von Sicherheiten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Bundesnetzagentur gibt unverzüglich die hinterlegten Sicherheiten für ein bestimmtes Gebot zurück, wenn der Bieter</w:t>
      </w:r>
    </w:p>
    <w:p>
      <w:pPr>
        <w:ind w:left="420"/>
      </w:pPr>
      <w:r>
        <w:t xml:space="preserve">1. dieses Gebot nach § 30a Absatz 3 zurückgenommen hat,</w:t>
      </w:r>
    </w:p>
    <w:p>
      <w:pPr>
        <w:ind w:left="420"/>
      </w:pPr>
      <w:r>
        <w:t xml:space="preserve">2. für dieses Gebot keinen Zuschlag nach § 32 erhalten hat oder</w:t>
      </w:r>
    </w:p>
    <w:p>
      <w:pPr>
        <w:ind w:left="420"/>
      </w:pPr>
      <w:r>
        <w:t xml:space="preserve">3. für dieses Gebot eine Pönale nach § 55 geleistet hat.</w:t>
      </w:r>
    </w:p>
    <w:p>
      <w:r>
        <w:t xml:space="preserve">(2) Die Bundesnetzagentur erstattet die hinterlegten Sicherheiten für ein bestimmtes Gebot auch, soweit der Netzbetreiber</w:t>
      </w:r>
    </w:p>
    <w:p>
      <w:pPr>
        <w:ind w:left="420"/>
      </w:pPr>
      <w:r>
        <w:t xml:space="preserve">1. für eine Solaranlage eine Bestätigung nach § 38a Absatz 3 an die Bundesnetzagentur übermittelt hat oder</w:t>
      </w:r>
    </w:p>
    <w:p>
      <w:pPr>
        <w:ind w:left="420"/>
      </w:pPr>
      <w:r>
        <w:t xml:space="preserve">2. für eine Windenergieanlage an Land oder eine Biomasseanlage eine Bestätigung nach § 13 Absatz 2 der Marktstammdatenregisterverordnung übermittelt hat.</w:t>
      </w:r>
    </w:p>
    <w:p>
      <w:r>
        <w:t xml:space="preserve">Sind nicht mehr als 5 Prozent der Gebotsmenge des bezuschlagten Gebots entwertet worden, erstattet die Bundesnetzagentur die Sicherheit in voller Höhe.</w:t>
      </w:r>
    </w:p>
    <w:p>
      <w:r>
        <w:rPr>
          <w:color w:val="555555"/>
          <w:sz w:val="17"/>
        </w:rPr>
        <w:t xml:space="preserve">Zitiervorschlag: § 55a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https://recht.nulegal.eu/gesetze/EEG%202014/55a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