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53c EEG 2014 — Verringerung des Zahlungsanspruchs bei einer Stromsteuerbefreiung</w:t>
      </w:r>
    </w:p>
    <w:p>
      <w:r>
        <w:rPr>
          <w:color w:val="555555"/>
          <w:sz w:val="18"/>
        </w:rPr>
        <w:t xml:space="preserve">Erneuerbare-Energien-Gesetz</w:t>
      </w:r>
    </w:p>
    <w:p>
      <w:r>
        <w:rPr>
          <w:color w:val="555555"/>
          <w:sz w:val="18"/>
        </w:rPr>
        <w:t xml:space="preserve">Stand: 10.06.2019 (konsolidierte Textfassung, kein amtliches Inkrafttretensdatum)</w:t>
      </w:r>
    </w:p>
    <w:p>
      <w:r>
        <w:t xml:space="preserve">Der anzulegende Wert verringert sich für Strom, der durch ein Netz durchgeleitet wird und der von der Stromsteuer nach dem Stromsteuergesetz befreit ist, um die Höhe der pro Kilowattstunde gewährten Stromsteuerbefreiung.</w:t>
      </w:r>
    </w:p>
    <w:p>
      <w:r>
        <w:rPr>
          <w:color w:val="555555"/>
          <w:sz w:val="17"/>
        </w:rPr>
        <w:t xml:space="preserve">Zitiervorschlag: § 53c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https://recht.nulegal.eu/gesetze/EEG%202014/53c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