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EEG 2014 — Verringerung der Einspeisevergütung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Die Höhe des Anspruchs auf die Einspeisevergütung berechnet sich aus den anzulegenden Werten, wobei von den anzulegenden Werten</w:t>
      </w:r>
    </w:p>
    <w:p>
      <w:pPr>
        <w:ind w:left="420"/>
      </w:pPr>
      <w:r>
        <w:t xml:space="preserve">1. 0,2 Cent pro Kilowattstunde für Strom aus Anlagen zur Erzeugung von Strom aus Wasserkraft, Biomasse, Geothermie, Deponie-, Klär- oder Grubengas abzuziehen sind oder</w:t>
      </w:r>
    </w:p>
    <w:p>
      <w:pPr>
        <w:ind w:left="420"/>
      </w:pPr>
      <w:r>
        <w:t xml:space="preserve">2. 0,4 Cent pro Kilowattstunde für Strom aus Solaranlagen oder aus Windenergieanlagen an Land oder auf See abzuziehen sind.</w:t>
      </w:r>
    </w:p>
    <w:p>
      <w:r>
        <w:t xml:space="preserve">(2) Abweichend von Absatz 1 verringert sich der Anspruch nicht, solange die unentgeltliche Abnahme in Anspruch genommen wird.</w:t>
      </w:r>
    </w:p>
    <w:p>
      <w:r>
        <w:t xml:space="preserve">(3) Abweichend von Absatz 1 verringert sich der anzulegende Wert um 20 Prozent, wobei das Ergebnis auf zwei Stellen nach dem Komma gerundet wird, solange die Ausfallvergütung in Anspruch genommen wird.</w:t>
      </w:r>
    </w:p>
    <w:p>
      <w:r>
        <w:t xml:space="preserve">(4) Für Strom aus ausgeförderten Anlagen, für die ein Anspruch auf Einspeisevergütung nach § 19 Absatz 1 in Verbindung mit § 21 Absatz 1 Satz 1 Nummer 4 geltend gemacht wird, ist abweichend von Absatz 1 von dem anzulegenden Wert der Wert abzuziehen, den die Übertragungsnetzbetreiber nach § 51 Absatz 1 Nummer 4 Buchstabe b des Energiefinanzierungsgesetzes auf ihrer Internetseite veröffentlicht haben. Der Wert nach Satz 1 verringert sich um die Hälfte für Strom aus ausgeförderten Anlagen, die mit einem intelligenten Messsystem ausgestattet sind.</w:t>
      </w:r>
    </w:p>
    <w:p>
      <w:r>
        <w:t xml:space="preserve">(5) Wenn für besondere Solaranlagen nach § 48 Absatz 1 Satz 1 Nummer 5 Buchstabe a der Nachweis über den gleichzeitigen Nutzpflanzenanbau gemäß den Festlegungen der Bundesnetzagentur nach § 85c Absatz 1 Satz 4 nicht erbracht wird, verringert sich der anzulegende Wert um 2,5 Cent pro Kilowattstunde. Die Rechtsfolge nach Satz 1 entfällt für die Zukunft, wenn im darauffolgenden Jahr der erforderliche Nachweis für das jeweils zurückliegende Jahr erbracht wird. Die Rechtsfolge nach Satz 1 entfällt außerdem für die Zeiträume, für die der erforderliche Nachweis nachträglich erbracht wird. Die Sätze 1 bis 3 sind entsprechend anzuwenden, wenn für besondere Solaranlagen nach § 48 Absatz 1 Satz 1 Nummer 5 Buchstabe b und c der Nachweis über die gleichzeitige landwirtschaftliche Nutzung gemäß den Festlegungen der Bundesnetzagentur nach § 85c Absatz 1 Satz 4 nicht erbracht wird.</w:t>
      </w:r>
    </w:p>
    <w:p>
      <w:r>
        <w:rPr>
          <w:color w:val="555555"/>
          <w:sz w:val="17"/>
        </w:rPr>
        <w:t xml:space="preserve">Zitiervorschlag: § 53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