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EEG 2014 — Verringerung des Zahlungsanspruchs bei negativen Preisen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Zeiträume, in denen der Spotmarktpreis negativ ist, verringert sich der anzulegende Wert auf null.</w:t>
      </w:r>
    </w:p>
    <w:p>
      <w:r>
        <w:t xml:space="preserve">(2) Absatz 1 ist nicht anzuwenden auf</w:t>
      </w:r>
    </w:p>
    <w:p>
      <w:pPr>
        <w:ind w:left="420"/>
      </w:pPr>
      <w:r>
        <w:t xml:space="preserve">1. Anlagen mit einer installierten Leistung von weniger als 100 Kilowatt für Zeiträume vor dem Ablauf des Kalenderjahres, in dem die Anlage mit einem intelligenten Messsystem ausgestattet wird, und</w:t>
      </w:r>
    </w:p>
    <w:p>
      <w:pPr>
        <w:ind w:left="420"/>
      </w:pPr>
      <w:r>
        <w:t xml:space="preserve">2. Anlagen mit einer installierten Leistung von weniger als 2 Kilowatt für Zeiträume vor dem Ablauf des Kalenderjahres, in dem die Bundesnetzagentur die Festlegung nach § 85 Absatz 2 Nummer 12 getroffen hat.</w:t>
      </w:r>
    </w:p>
    <w:p>
      <w:r>
        <w:t xml:space="preserve">Zur Ermittlung der Anlagengröße nach Satz 1 ist § 24 entsprechend anzuwenden.</w:t>
      </w:r>
    </w:p>
    <w:p>
      <w:r>
        <w:t xml:space="preserve">(3) Wenn der Strom in einem Kalendermonat, in dem die Voraussetzungen nach Absatz 1 mindestens einmal erfüllt sind, in der Ausfallvergütung veräußert wird, muss der Anlagenbetreiber dem Netzbetreiber bei der Datenübermittlung nach § 71 Absatz 1 Nummer 1 die Strommenge mitteilen, die er in dem Zeitraum eingespeist hat, in dem der Spotmarktpreis ohne Unterbrechung negativ gewesen ist; anderenfalls verringert sich der Anspruch in diesem Kalendermonat um 5 Prozent pro Kalendertag, in dem dieser Zeitraum ganz oder teilweise liegt.</w:t>
      </w:r>
    </w:p>
    <w:p>
      <w:r>
        <w:rPr>
          <w:color w:val="555555"/>
          <w:sz w:val="17"/>
        </w:rPr>
        <w:t xml:space="preserve">Zitiervorschlag: § 51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