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 EEG 2014 — Zahlungsanspruch für Flexibilität</w:t>
      </w:r>
    </w:p>
    <w:p>
      <w:r>
        <w:rPr>
          <w:color w:val="555555"/>
          <w:sz w:val="18"/>
        </w:rPr>
        <w:t xml:space="preserve">Erneuerbare-Energien-Gesetz</w:t>
      </w:r>
    </w:p>
    <w:p>
      <w:r>
        <w:rPr>
          <w:color w:val="555555"/>
          <w:sz w:val="18"/>
        </w:rPr>
        <w:t xml:space="preserve">Stand: 25.01.2021 (konsolidierte Textfassung, kein amtliches Inkrafttretensdatum)</w:t>
      </w:r>
    </w:p>
    <w:p>
      <w:r>
        <w:t xml:space="preserve">(1) Anlagenbetreiber haben gegen den Netzbetreiber einen Zahlungsanspruch nach Maßgabe des § 50a oder § 50b für die Bereitstellung installierter Leistung, wenn für den in der Anlage erzeugten Strom dem Grunde nach auch ein Anspruch auf Zahlung nach der für die Anlage maßgeblichen Fassung des Erneuerbare-Energien-Gesetzes besteht; dieser Anspruch bleibt unberührt.</w:t>
      </w:r>
    </w:p>
    <w:p>
      <w:r>
        <w:t xml:space="preserve">(2) § 24 Absatz 1, § 26 und § 27 sind entsprechend anzuwenden.</w:t>
      </w:r>
    </w:p>
    <w:p>
      <w:r>
        <w:t xml:space="preserve">(3) Der Zahlungsanspruch nach Absatz 1 besteht unbeschadet der übrigen Voraussetzungen nur, wenn in der Anlage in dem jeweiligen Kalenderjahr</w:t>
      </w:r>
    </w:p>
    <w:p>
      <w:pPr>
        <w:ind w:left="420"/>
      </w:pPr>
      <w:r>
        <w:t xml:space="preserve">1. in mindestens 4 000 Viertelstunden eine Strommenge erzeugt wird, die mindestens 85 Prozent der installierten Leistung der Anlage entspricht, oder</w:t>
      </w:r>
    </w:p>
    <w:p>
      <w:pPr>
        <w:ind w:left="420"/>
      </w:pPr>
      <w:r>
        <w:t xml:space="preserve">2. im Fall von Anlagen, die unter Teil 3 Abschnitt 3 Unterabschnitt 6 fallen, in mindestens 2 000 Viertelstunden eine Strommenge erzeugt wird, die mindestens 85 Prozent der installierten Leistung der Anlage entspricht.</w:t>
      </w:r>
    </w:p>
    <w:p>
      <w:r>
        <w:t xml:space="preserve">Im ersten und im letzten Jahr der Inanspruchnahme des Flexibilitätszuschlags nach § 50a oder der Flexibilitätsprämie nach § 50b reduziert sich die Anzahl der nach Satz 1 erforderlichen Viertelstunden anteilig im Verhältnis der vollen Kalendermonate, in denen der Flexibilitätszuschlag nach § 50a oder die Flexibilitätsprämie nach § 50b geltend gemacht wird, zu zwölf Kalendermonaten. Die Anzahl der nach Satz 1 in einem Kalenderjahr erforderlichen Viertelstunden reduziert sich ferner auch dann, wenn die Anlage aufgrund von technischen Defekten oder Instandsetzungsarbeiten in dem jeweiligen Kalenderjahr</w:t>
      </w:r>
    </w:p>
    <w:p>
      <w:pPr>
        <w:ind w:left="420"/>
      </w:pPr>
      <w:r>
        <w:t xml:space="preserve">1. im Fall des Satzes 1 Nummer 1 in mehr als 672 zusammenhängenden Viertelstunden keinen Strom erzeugt oder</w:t>
      </w:r>
    </w:p>
    <w:p>
      <w:pPr>
        <w:ind w:left="420"/>
      </w:pPr>
      <w:r>
        <w:t xml:space="preserve">2. im Fall des Satzes 1 Nummer 2 in mehr als 336 zusammenhängenden Viertelstunden keinen Strom erzeugt.</w:t>
      </w:r>
    </w:p>
    <w:p>
      <w:r>
        <w:t xml:space="preserve">In den Fällen des Satzes 2 wird die Anzahl der nach Satz 1 erforderlichen Viertelstunden sowie der Flexibilitätszuschlag nach § 50a oder die Flexibilitätsprämie nach § 50b anteilig um das Verhältnis der Viertelstunden, in denen die Anlage keinen Strom erzeugt, zu sämtlichen Viertelstunden des jeweiligen Kalenderjahres gekürzt.</w:t>
      </w:r>
    </w:p>
    <w:p>
      <w:r>
        <w:rPr>
          <w:color w:val="555555"/>
          <w:sz w:val="17"/>
        </w:rPr>
        <w:t xml:space="preserve">Zitiervorschlag: § 50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https://recht.nulegal.eu/gesetze/EEG%202014/50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