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4a EEG 2014 — Strommengenpfad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Um überprüfen zu können, ob die erneuerbaren Energien in der für die Erreichung des Ziels nach § 1 Absatz 2 erforderlichen Geschwindigkeit ausgebaut werden, werden folgende Zwischenziele als Richtwerte für die Stromerzeugung aus erneuerbaren Energien festgelegt:</w:t>
      </w:r>
    </w:p>
    <w:p>
      <w:pPr>
        <w:ind w:left="420"/>
      </w:pPr>
      <w:r>
        <w:t xml:space="preserve">1. 287 Terawattstunden im Jahr 2023,</w:t>
      </w:r>
    </w:p>
    <w:p>
      <w:pPr>
        <w:ind w:left="420"/>
      </w:pPr>
      <w:r>
        <w:t xml:space="preserve">2. 310 Terawattstunden im Jahr 2024,</w:t>
      </w:r>
    </w:p>
    <w:p>
      <w:pPr>
        <w:ind w:left="420"/>
      </w:pPr>
      <w:r>
        <w:t xml:space="preserve">3. 346 Terawattstunden im Jahr 2025,</w:t>
      </w:r>
    </w:p>
    <w:p>
      <w:pPr>
        <w:ind w:left="420"/>
      </w:pPr>
      <w:r>
        <w:t xml:space="preserve">4. 388 Terawattstunden im Jahr 2026,</w:t>
      </w:r>
    </w:p>
    <w:p>
      <w:pPr>
        <w:ind w:left="420"/>
      </w:pPr>
      <w:r>
        <w:t xml:space="preserve">5. 433 Terawattstunden im Jahr 2027,</w:t>
      </w:r>
    </w:p>
    <w:p>
      <w:pPr>
        <w:ind w:left="420"/>
      </w:pPr>
      <w:r>
        <w:t xml:space="preserve">6. 479 Terawattstunden im Jahr 2028,</w:t>
      </w:r>
    </w:p>
    <w:p>
      <w:pPr>
        <w:ind w:left="420"/>
      </w:pPr>
      <w:r>
        <w:t xml:space="preserve">7. 533 Terawattstunden im Jahr 2029 und</w:t>
      </w:r>
    </w:p>
    <w:p>
      <w:pPr>
        <w:ind w:left="420"/>
      </w:pPr>
      <w:r>
        <w:t xml:space="preserve">8. 600 Terawattstunden im Jahr 2030.</w:t>
      </w:r>
    </w:p>
    <w:p>
      <w:r>
        <w:rPr>
          <w:color w:val="555555"/>
          <w:sz w:val="17"/>
        </w:rPr>
        <w:t xml:space="preserve">Zitiervorschlag: § 4a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https://recht.nulegal.eu/gesetze/EEG%202014/4a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