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44c EEG 2014 — Sonstige gemeinsame Bestimmungen für Strom aus Biomasse</w:t>
      </w:r>
    </w:p>
    <w:p>
      <w:r>
        <w:rPr>
          <w:color w:val="555555"/>
          <w:sz w:val="18"/>
        </w:rPr>
        <w:t xml:space="preserve">Erneuerbare-Energien-Gesetz</w:t>
      </w:r>
    </w:p>
    <w:p>
      <w:r>
        <w:rPr>
          <w:color w:val="555555"/>
          <w:sz w:val="18"/>
        </w:rPr>
        <w:t xml:space="preserve">Stand: 25.01.2021 (konsolidierte Textfassung, kein amtliches Inkrafttretensdatum)</w:t>
      </w:r>
    </w:p>
    <w:p>
      <w:r>
        <w:t xml:space="preserve">(1) Der Anspruch nach § 19 Absatz 1 für Strom aus Biomasse besteht unbeschadet des § 44b nur,</w:t>
      </w:r>
    </w:p>
    <w:p>
      <w:pPr>
        <w:ind w:left="420"/>
      </w:pPr>
      <w:r>
        <w:t xml:space="preserve">1. wenn der Anlagenbetreiber durch eine Kopie eines Einsatzstoff-Tagebuchs mit Angaben und Belegen über Art, Menge und Einheit sowie Herkunft der eingesetzten Stoffe nachweist, welche Biomasse und in welchem Umfang Speichergas oder Grubengas eingesetzt werden,</w:t>
      </w:r>
    </w:p>
    <w:p>
      <w:pPr>
        <w:ind w:left="420"/>
      </w:pPr>
      <w:r>
        <w:t xml:space="preserve">2. wenn in Anlagen flüssige Biomasse eingesetzt wird, für den Stromanteil aus flüssiger Biomasse, die zur Anfahr-, Zünd- und Stützfeuerung notwendig ist; flüssige Biomasse ist Biomasse, die zum Zeitpunkt des Eintritts in den Brenn- oder Feuerraum flüssig ist; Pflanzenölmethylester ist in dem Umfang als Biomasse anzusehen, der zur Anfahr-, Zünd- und Stützfeuerung notwendig ist.</w:t>
      </w:r>
    </w:p>
    <w:p>
      <w:r>
        <w:t xml:space="preserve">(2) Für den Anspruch nach § 19 Absatz 1 für Strom aus Biomasse nach § 42, § 43 oder § 44 ist ab dem ersten Kalenderjahr, das auf seine erstmalige Inanspruchnahme folgt, der Stromanteil aus flüssiger Biomasse nach Absatz 1 Nummer 2 durch Vorlage einer Kopie eines Einsatzstoff-Tagebuchs jährlich bis zum 28. Februar eines Jahres jeweils für das vorangegangene Kalenderjahr nachzuweisen.</w:t>
      </w:r>
    </w:p>
    <w:p>
      <w:r>
        <w:t xml:space="preserve">(3) Der Anspruch nach § 19 Absatz 1 für Strom aus Biomasse besteht für Biomasseanlagen, die nicht gleichzeitig KWK-Anlagen sind, nur, wenn der Anlagenbetreiber vor der Inbetriebnahme dem Netzbetreiber nachweist, dass für die Anlage keine kosteneffiziente Möglichkeit zur Nutzung als hocheffiziente KWK-Anlage besteht.</w:t>
      </w:r>
    </w:p>
    <w:p>
      <w:r>
        <w:t xml:space="preserve">(4) Der Anspruch nach § 19 Absatz 1 für Strom aus Biomasse besteht bei Anlagen mit einer Gesamtfeuerungswärmeleistung von mehr als 50 Megawatt nur, wenn die Anlage</w:t>
      </w:r>
    </w:p>
    <w:p>
      <w:pPr>
        <w:ind w:left="420"/>
      </w:pPr>
      <w:r>
        <w:t xml:space="preserve">1. eine hocheffiziente KWK-Anlage ist,</w:t>
      </w:r>
    </w:p>
    <w:p>
      <w:pPr>
        <w:ind w:left="420"/>
      </w:pPr>
      <w:r>
        <w:t xml:space="preserve">2. einen elektrischen Nettowirkungsgrad von mindestens 36 Prozent erreicht oder</w:t>
      </w:r>
    </w:p>
    <w:p>
      <w:pPr>
        <w:ind w:left="420"/>
      </w:pPr>
      <w:r>
        <w:t xml:space="preserve">3. eine Gesamtfeuerungswärmeleistung von höchstens 100 Megawatt hat und die im Durchführungsbeschluss (EU) 2017/1442 der Kommission vom 31. Juli 2017 über Schlussfolgerungen zu den besten verfügbaren Techniken (BVT) gemäß der Richtlinie 2010/75/EU des Europäischen Parlaments und des Rates für Großfeuerungsanlagen (ABl. L 212 vom 17.8.2017, S. 1) definierten verbundenen Energieeffizienzwerte erreicht.</w:t>
      </w:r>
    </w:p>
    <w:p>
      <w:r>
        <w:t xml:space="preserve">(5) Der Anspruch nach § 19 Absatz 1 für Strom aus Biogas, der in einer KWK-Anlage erzeugt wird, besteht nur, wenn es sich um eine hocheffiziente KWK-Anlage handelt.</w:t>
      </w:r>
    </w:p>
    <w:p>
      <w:r>
        <w:t xml:space="preserve">(6) Für den Anspruch nach § 19 Absatz 1 für Strom aus Biomasse ist ab dem ersten Kalenderjahr, das auf seine erstmalige Inanspruchnahme folgt, jährlich bis zum 28. Februar eines Jahres jeweils für das vorangegangene Kalenderjahr die Erfüllung der Voraussetzung nach § 44b Absatz 2, § 44c Absatz 4 oder Absatz 5 durch ein nach den allgemein anerkannten Regeln der Technik erstelltes Gutachten eines Umweltgutachters mit einer Zulassung für den Bereich Elektrizitätserzeugung aus erneuerbaren Energien oder für den Bereich Wärmeversorgung nachzuweisen. Bei der erstmaligen Geltendmachung des Anspruchs ist ferner die Eignung der Anlage zur Erfüllung der Voraussetzungen nach Satz 1 durch ein Gutachten eines Umweltgutachters mit einer Zulassung für den Bereich Elektrizitätserzeugung aus erneuerbaren Energien oder für den Bereich Wärmeversorgung nachzuweisen.</w:t>
      </w:r>
    </w:p>
    <w:p>
      <w:r>
        <w:t xml:space="preserve">(7) Die Einhaltung der allgemein anerkannten Regeln der Technik nach Absatz 6 Satz 1 wird vermutet, wenn das Sachverständigengutachten</w:t>
      </w:r>
    </w:p>
    <w:p>
      <w:pPr>
        <w:ind w:left="420"/>
      </w:pPr>
      <w:r>
        <w:t xml:space="preserve">1. die Anforderungen des Arbeitsblattes FW 308 „Zertifizierung von KWK-Anlagen – Ermittlung des KWK-Stromes“ des Energieeffizienzverbandes für Wärme, Kälte und KWK e. V. AGFW (Bundesanzeiger vom 19. Oktober 2015, nichtamtlicher Teil, Institutionelle Veröffentlichungen) erfüllt und</w:t>
      </w:r>
    </w:p>
    <w:p>
      <w:pPr>
        <w:ind w:left="420"/>
      </w:pPr>
      <w:r>
        <w:t xml:space="preserve">2. die Anhänge I und II der Richtlinie 2012/27/EU sowie die dazu erlassenen Leitlinien in der jeweils geltenden Fassung beachtet.</w:t>
      </w:r>
    </w:p>
    <w:p>
      <w:r>
        <w:t xml:space="preserve">Anstelle des Gutachtens nach Absatz 6 können für serienmäßig hergestellte KWK-Anlagen mit einer installierten Leistung von bis zu 2 Megawatt geeignete Unterlagen des Herstellers vorgelegt werden, aus denen die thermische und elektrische Leistung sowie die Stromkennzahl hervorgehen.</w:t>
      </w:r>
    </w:p>
    <w:p>
      <w:r>
        <w:t xml:space="preserve">(8) Der Anspruch nach § 19 Absatz 1 für Strom aus Biomasse verringert sich in dem jeweiligen Kalenderjahr insgesamt auf den Marktwert, wenn die Nachweisführung nicht in der nach den Absätzen 2 und 6 vorgeschriebenen Weise erfolgt ist.</w:t>
      </w:r>
    </w:p>
    <w:p>
      <w:r>
        <w:t xml:space="preserve">(9) Soweit nach den Absätzen 1 oder 2 der Nachweis durch eine Kopie eines Einsatzstoff-Tagebuchs zu führen ist, sind die für den Nachweis nicht erforderlichen personenbezogenen Angaben im Einsatzstoff-Tagebuch von dem Anlagenbetreiber zu schwärzen.</w:t>
      </w:r>
    </w:p>
    <w:p>
      <w:r>
        <w:rPr>
          <w:color w:val="555555"/>
          <w:sz w:val="17"/>
        </w:rPr>
        <w:t xml:space="preserve">Zitiervorschlag: § 44c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