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EEG 2014 — Gemeinsame Bestimmungen für Strom aus Gasen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Der Anspruch nach § 19 Absatz 1 für Strom aus Biogas besteht für Strom, der in Anlagen mit einer installierten Leistung von mehr als 100 Kilowatt erzeugt wird, nur für den Anteil der in einem Kalenderjahr erzeugten Strommenge, der einer Bemessungsleistung der Anlage von 45 Prozent des Wertes der installierten Leistung entspricht. Für den darüber hinausgehenden Anteil der in dem Kalenderjahr erzeugten Strommenge verringert sich der Anspruch nach § 19 Absatz 1 in der Veräußerungsform der Marktprämie auf null und in den Veräußerungsformen einer Einspeisevergütung auf den Marktwert. Die Sätze 1 und 2 sind nicht anzuwenden für Strom</w:t>
      </w:r>
    </w:p>
    <w:p>
      <w:pPr>
        <w:ind w:left="420"/>
      </w:pPr>
      <w:r>
        <w:t xml:space="preserve">1. aus Anlagen im Sinn des § 44, in denen Biogas eingesetzt wird, das durch anaerobe Vergärung von Biomasse im Sinn der Biomasseverordnung gewonnen worden ist, und</w:t>
      </w:r>
    </w:p>
    <w:p>
      <w:pPr>
        <w:ind w:left="420"/>
      </w:pPr>
      <w:r>
        <w:t xml:space="preserve">2. aus Biogasanlagen, die einen Zuschlag nach § 39 erhalten haben.</w:t>
      </w:r>
    </w:p>
    <w:p>
      <w:r>
        <w:t xml:space="preserve">(2) Der Anspruch nach § 19 Absatz 1 für Strom aus Biomasse nach § 42 oder § 43 besteht ferner nur, soweit bei Anlagen, in denen Biomethan eingesetzt wird, der Strom in einer hocheffizienten KWK-Anlage erzeugt wird.</w:t>
      </w:r>
    </w:p>
    <w:p>
      <w:r>
        <w:t xml:space="preserve">(3) Der Anspruch nach § 19 Absatz 1 für Strom aus Biomasse nach § 43 oder § 44 kann nicht mit dem Anspruch nach § 19 Absatz 1 in Verbindung mit § 39 oder § 42 kombiniert werden.</w:t>
      </w:r>
    </w:p>
    <w:p>
      <w:r>
        <w:t xml:space="preserve">(4) Aus einem Erdgasnetz entnommenes Gas ist jeweils als Deponiegas, Klärgas, Grubengas, Biomethan oder Speichergas anzusehen,</w:t>
      </w:r>
    </w:p>
    <w:p>
      <w:pPr>
        <w:ind w:left="420"/>
      </w:pPr>
      <w:r>
        <w:t xml:space="preserve">1. soweit die Menge des entnommenen Gases im Wärmeäquivalent am Ende eines Kalenderjahres der Menge von Deponiegas, Klärgas, Grubengas, Biomethan oder Speichergas entspricht, die an anderer Stelle im Bundesgebiet in das Erdgasnetz eingespeist worden ist, und</w:t>
      </w:r>
    </w:p>
    <w:p>
      <w:pPr>
        <w:ind w:left="420"/>
      </w:pPr>
      <w:r>
        <w:t xml:space="preserve">2. wenn für den gesamten Transport und Vertrieb des Gases von seiner Herstellung oder Gewinnung, seiner Einspeisung in das Erdgasnetz und seinem Transport im Erdgasnetz bis zu seiner Entnahme aus dem Erdgasnetz Massenbilanzsysteme verwendet worden sind.</w:t>
      </w:r>
    </w:p>
    <w:p>
      <w:r>
        <w:t xml:space="preserve">(5) Der Anspruch nach § 19 Absatz 1 für Strom aus Biomethan nach § 42 oder § 43 besteht auch, wenn das Biomethan vor seiner Entnahme aus dem Erdgasnetz anhand der Energieerträge der zur Biomethanerzeugung eingesetzten Einsatzstoffe bilanziell in einsatzstoffbezogene Teilmengen geteilt wird. Die bilanzielle Teilung in einsatzstoffbezogene Teilmengen einschließlich der Zuordnung der eingesetzten Einsatzstoffe zu der jeweiligen Teilmenge ist im Rahmen der Massenbilanzierung nach Absatz 4 Nummer 2 zu dokumentieren.</w:t>
      </w:r>
    </w:p>
    <w:p>
      <w:r>
        <w:rPr>
          <w:color w:val="555555"/>
          <w:sz w:val="17"/>
        </w:rPr>
        <w:t xml:space="preserve">Zitiervorschlag: § 44b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