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44 EEG 2014 — Vergärung von Gülle</w:t>
      </w:r>
    </w:p>
    <w:p>
      <w:r>
        <w:rPr>
          <w:color w:val="555555"/>
          <w:sz w:val="18"/>
        </w:rPr>
        <w:t xml:space="preserve">Erneuerbare-Energien-Gesetz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Für Strom aus Anlagen, in denen Biogas eingesetzt wird, das durch anaerobe Vergärung von Biomasse im Sinn der Biomasseverordnung gewonnen worden ist, beträgt der anzulegende Wert</w:t>
      </w:r>
    </w:p>
    <w:p>
      <w:pPr>
        <w:ind w:left="420"/>
      </w:pPr>
      <w:r>
        <w:t xml:space="preserve">1. bis einschließlich einer Bemessungsleistung von 75 Kilowatt 22 Cent pro Kilowattstunde und</w:t>
      </w:r>
    </w:p>
    <w:p>
      <w:pPr>
        <w:ind w:left="420"/>
      </w:pPr>
      <w:r>
        <w:t xml:space="preserve">2. bis einschließlich einer Bemessungsleistung von 150 Kilowatt 19 Cent pro Kilowattstunde.</w:t>
      </w:r>
    </w:p>
    <w:p>
      <w:r>
        <w:t xml:space="preserve">(2) Der Anspruch nach § 19 Absatz 1 in Verbindung mit Absatz 1 besteht nur, wenn</w:t>
      </w:r>
    </w:p>
    <w:p>
      <w:pPr>
        <w:ind w:left="420"/>
      </w:pPr>
      <w:r>
        <w:t xml:space="preserve">1. der Strom am Standort der Biogaserzeugungsanlage erzeugt wird,</w:t>
      </w:r>
    </w:p>
    <w:p>
      <w:pPr>
        <w:ind w:left="420"/>
      </w:pPr>
      <w:r>
        <w:t xml:space="preserve">2. die installierte Leistung am Standort der Biogaserzeugungsanlage insgesamt höchstens 150 Kilowatt beträgt und</w:t>
      </w:r>
    </w:p>
    <w:p>
      <w:pPr>
        <w:ind w:left="420"/>
      </w:pPr>
      <w:r>
        <w:t xml:space="preserve">3. zur Erzeugung des Biogases in dem jeweiligen Kalenderjahr durchschnittlich ein Anteil von Gülle mit Ausnahme von Geflügelmist und Geflügeltrockenkot von mindestens 80 Masseprozent eingesetzt wird; auf diesen Anteil kann überjähriges Kleegras bis zu einem Anteil von bis zu 10 Masseprozent angerechnet werden.</w:t>
      </w:r>
    </w:p>
    <w:p>
      <w:r>
        <w:t xml:space="preserve">(3) Wurde ein Anlagenbetreiber aufgrund einer Sperre im Sinn von § 6 Absatz 1 Nummer 18 des Tiergesundheitsgesetzes im Einsatz von Gülle beeinträchtigt und konnte er deshalb den vorgesehenen Güllemindestanteil nach Absatz 2 Nummer 3 nicht einhalten, ist der Zeitraum der Sperre zuzüglich 30 Kalendertagen bei der Berechnung des durchschnittlichen Gülleanteils nach Absatz 2 Nummer 3 nicht zu berücksichtigen. In diesem Fall entfällt der Vergütungsanspruch für den nicht berücksichtigten Zeitraum.</w:t>
      </w:r>
    </w:p>
    <w:p>
      <w:r>
        <w:rPr>
          <w:color w:val="555555"/>
          <w:sz w:val="17"/>
        </w:rPr>
        <w:t xml:space="preserve">Zitiervorschlag: § 44 EEG 2014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https://recht.nulegal.eu/gesetze/EEG%202014/44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