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EEG 2014 — Vergärung von Bioabfällen</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(1) Für Strom aus Anlagen, in denen Biogas eingesetzt wird, das durch anaerobe Vergärung von Biomasse im Sinn der Biomasseverordnung mit einem Anteil von getrennt erfassten Bioabfällen im Sinn der Abfallschlüssel Nummer 20 02 01, 20 03 01 und 20 03 02 der Nummer 1 Buchstabe a des Anhangs 1 der Bioabfallverordnung in dem jeweiligen Kalenderjahr von durchschnittlich mindestens 90 Masseprozent gewonnen worden ist, beträgt der anzulegende Wert, wenn er gesetzlich bestimmt wird,</w:t>
      </w:r>
    </w:p>
    <w:p>
      <w:pPr>
        <w:ind w:left="420"/>
      </w:pPr>
      <w:r>
        <w:t xml:space="preserve">1. bis einschließlich einer Bemessungsleistung von 500 Kilowatt 14,16 Cent pro Kilowattstunde und</w:t>
      </w:r>
    </w:p>
    <w:p>
      <w:pPr>
        <w:ind w:left="420"/>
      </w:pPr>
      <w:r>
        <w:t xml:space="preserve">2. bis einschließlich einer Bemessungsleistung von 20 Megawatt 12,41 Cent pro Kilowattstunde.</w:t>
      </w:r>
    </w:p>
    <w:p>
      <w:r>
        <w:t xml:space="preserve">(2) Der Anspruch nach § 19 Absatz 1 in Verbindung mit Absatz 1 besteht nur, wenn die Einrichtungen zur anaeroben Vergärung der Bioabfälle unmittelbar mit einer Einrichtung zur Nachrotte der festen Gärrückstände verbunden sind und die nachgerotteten Gärrückstände stofflich verwertet werden.</w:t>
      </w:r>
    </w:p>
    <w:p>
      <w:r>
        <w:rPr>
          <w:color w:val="555555"/>
          <w:sz w:val="17"/>
        </w:rPr>
        <w:t xml:space="preserve">Zitiervorschlag: § 43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