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38b EEG 2014 — Anzulegender Wert für Solaranlagen des ersten Segments</w:t>
      </w:r>
    </w:p>
    <w:p>
      <w:r>
        <w:rPr>
          <w:color w:val="555555"/>
          <w:sz w:val="18"/>
        </w:rPr>
        <w:t xml:space="preserve">Erneuerbare-Energien-Gesetz</w:t>
      </w:r>
    </w:p>
    <w:p>
      <w:r>
        <w:rPr>
          <w:color w:val="555555"/>
          <w:sz w:val="18"/>
        </w:rPr>
        <w:t xml:space="preserve">Stand: 17.05.2024 (konsolidierte Textfassung, kein amtliches Inkrafttretensdatum)</w:t>
      </w:r>
    </w:p>
    <w:p>
      <w:r>
        <w:t xml:space="preserve">(1) Die Höhe des anzulegenden Werts bei den Ausschreibungen für Solaranlagen des ersten Segments entspricht dem Zuschlagswert des bezuschlagten Gebots, dessen Gebotsmenge der Solaranlage zugeteilt worden ist.</w:t>
      </w:r>
    </w:p>
    <w:p>
      <w:r>
        <w:t xml:space="preserve">(2) Solaranlagen, die Solaranlagen an demselben Standort ersetzen, sind abweichend von § 3 Nummer 30 bis zur Höhe der vor der Ersetzung an demselben Standort installierten Leistung von Solaranlagen als zu dem Zeitpunkt in Betrieb genommen anzusehen, zu dem die ersetzten Anlagen in Betrieb genommen worden sind. Die Zahlungsberechtigung verliert im Zeitpunkt der Ersetzung ihre Wirksamkeit für die ersetzte Anlage und erfasst stattdessen die ersetzende Anlage. Bei einer Erhöhung der Leistung durch die Ersetzung nach Satz 1 wird der Teil des eingespeisten Stroms nach § 19 vergütet, dessen Anteil am eingespeisten Strom dem Anteil der ersetzten Solaranlagen zur Leistung der ersetzenden Solaranlagen entspricht; für den darüber hinausgehenden Anteil besteht kein Zahlungsanspruch nach § 19.</w:t>
      </w:r>
    </w:p>
    <w:p>
      <w:r>
        <w:rPr>
          <w:color w:val="555555"/>
          <w:sz w:val="17"/>
        </w:rPr>
        <w:t xml:space="preserve">Zitiervorschlag: § 38b EEG 2014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https://recht.nulegal.eu/gesetze/EEG%202014/38b</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