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36j EEG 2014 — Zusatzgebote</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Abweichend von § 36c können Bieter einmalig Gebote für bezuschlagte Windenergieanlagen an Land nach deren Inbetriebnahme abgeben, wenn die installierte Leistung der Anlagen um mehr als 15 Prozent erhöht wird oder werden soll (Zusatzgebote).</w:t>
      </w:r>
    </w:p>
    <w:p>
      <w:r>
        <w:t xml:space="preserve">(2) In Ergänzung zu den Anforderungen an Gebote nach § 30 müssen Zusatzgebote folgende Anforderungen erfüllen:</w:t>
      </w:r>
    </w:p>
    <w:p>
      <w:pPr>
        <w:ind w:left="420"/>
      </w:pPr>
      <w:r>
        <w:t xml:space="preserve">1. die Nummer des bereits erteilten Zuschlags ist anzugeben,</w:t>
      </w:r>
    </w:p>
    <w:p>
      <w:pPr>
        <w:ind w:left="420"/>
      </w:pPr>
      <w:r>
        <w:t xml:space="preserve">2. die Registernummer der Anlagen, auf die sich das Gebot bezieht, ist anzugeben und</w:t>
      </w:r>
    </w:p>
    <w:p>
      <w:pPr>
        <w:ind w:left="420"/>
      </w:pPr>
      <w:r>
        <w:t xml:space="preserve">3. der Gebotswert darf weder den geltenden Höchstwert noch den Zuschlagswert des bereits erteilten Zuschlags überschreiten.</w:t>
      </w:r>
    </w:p>
    <w:p>
      <w:r>
        <w:t xml:space="preserve">(3) Der Vergütungszeitraum für Zusatzgebote entspricht dem des nach § 36i zuerst erteilten Zuschlags.</w:t>
      </w:r>
    </w:p>
    <w:p>
      <w:r>
        <w:t xml:space="preserve">(4) Die §§ 36a bis 36c, 36e und 36f sind für Zusatzgebote entsprechend anzuwenden.</w:t>
      </w:r>
    </w:p>
    <w:p>
      <w:r>
        <w:rPr>
          <w:color w:val="555555"/>
          <w:sz w:val="17"/>
        </w:rPr>
        <w:t xml:space="preserve">Zitiervorschlag: § 36j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https://recht.nulegal.eu/gesetze/EEG%202014/36j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