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36h EEG 2014 — Anzulegender Wert für Windenergieanlagen an Land</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Der Netzbetreiber berechnet den anzulegenden Wert aufgrund des Zuschlagswerts für den Referenzstandort nach Anlage 2 Nummer 4 für Strom aus Windenergieanlagen an Land mit dem Korrekturfaktor des Gütefaktors, der nach Anlage 2 Nummer 2 und 7 ermittelt worden ist. Es sind folgende Stützwerte anzuwenden, wobei ein Gütefaktor von weniger als 60 Prozent nur für Windenergieanlagen in der Südregion anzuwenden ist:</w:t>
      </w:r>
    </w:p>
    <w:p>
      <w:r>
        <w:rPr>
          <w:rFonts w:ascii="Courier New" w:hAnsi="Courier New"/>
          <w:sz w:val="17"/>
        </w:rPr>
        <w:t xml:space="preserve">Gütefaktor    50 Prozent    60 Prozent    70 Prozent    80 Prozent    90 Prozent    100 Prozent    110 Prozent    120 Prozent    130 Prozent    140 Prozent    150 Prozent</w:t>
      </w:r>
    </w:p>
    <w:p>
      <w:r>
        <w:rPr>
          <w:rFonts w:ascii="Courier New" w:hAnsi="Courier New"/>
          <w:sz w:val="17"/>
        </w:rPr>
        <w:t xml:space="preserve">Korrekturfaktor    1,55    1,42    1,29    1,16    1,07    1    0,94    0,89    0,85    0,81    0,79</w:t>
      </w:r>
    </w:p>
    <w:p>
      <w:r>
        <w:t xml:space="preserve">Für die Ermittlung der Korrekturfaktoren zwischen den jeweils benachbarten Stützwerten findet eine lineare Interpolation statt. Der Korrekturfaktor beträgt</w:t>
      </w:r>
    </w:p>
    <w:p>
      <w:pPr>
        <w:ind w:left="420"/>
      </w:pPr>
      <w:r>
        <w:t xml:space="preserve">1. oberhalb des Gütefaktors von 150 Prozent 0,79,</w:t>
      </w:r>
    </w:p>
    <w:p>
      <w:pPr>
        <w:ind w:left="420"/>
      </w:pPr>
      <w:r>
        <w:t xml:space="preserve">2. für Anlagen in der Südregion unterhalb des Gütefaktors von 50 Prozent 1,55 und</w:t>
      </w:r>
    </w:p>
    <w:p>
      <w:pPr>
        <w:ind w:left="420"/>
      </w:pPr>
      <w:r>
        <w:t xml:space="preserve">3. für sonstige Anlagen unterhalb des Gütefaktors von 60 Prozent 1,42.</w:t>
      </w:r>
    </w:p>
    <w:p>
      <w:r>
        <w:t xml:space="preserve">Gütefaktor ist das Verhältnis des Standortertrags einer Anlage nach Anlage 2 Nummer 7 zum Referenzertrag nach Anlage 2 Nummer 2 in Prozent.</w:t>
      </w:r>
    </w:p>
    <w:p>
      <w:r>
        <w:t xml:space="preserve">(2) Die anzulegenden Werte werden jeweils mit Wirkung ab Beginn des sechsten, elften und sechzehnten auf die Inbetriebnahme der Anlage folgenden Jahres anhand des Standortertrags der Anlagen nach Anlage 2 Nummer 7 in den fünf vorangegangenen Jahren angepasst. In dem überprüften Zeitraum zu viel oder zu wenig geleistete Zahlungen nach § 19 Absatz 1 müssen erstattet werden, wenn der Gütefaktor auf Basis des Standortertrags der jeweils zuletzt betrachteten fünf Jahre mehr als 2 Prozentpunkte von dem zuletzt berechneten Gütefaktor abweicht. Dabei werden Ansprüche des Netzbetreibers auf Rückzahlung mit 1 Prozentpunkt über dem am ersten Tag des Überprüfungszeitraums geltenden Euro Interbank Offered Rate-Satz für die Beschaffung von Zwölfmonatsgeld von ersten Adressen in den Teilnehmerstaaten der Europäischen Währungsunion verzinst. Eine Aufrechnung mit Ansprüchen nach § 19 Absatz 1 ist zulässig.</w:t>
      </w:r>
    </w:p>
    <w:p>
      <w:r>
        <w:t xml:space="preserve">(3) Der Anspruch nach § 19 Absatz 1 in Verbindung mit Absatz 1 besteht</w:t>
      </w:r>
    </w:p>
    <w:p>
      <w:pPr>
        <w:ind w:left="420"/>
      </w:pPr>
      <w:r>
        <w:t xml:space="preserve">1. erst, sobald der Anlagenbetreiber gegenüber dem Netzbetreiber den Gütefaktor nachgewiesen hat und</w:t>
      </w:r>
    </w:p>
    <w:p>
      <w:pPr>
        <w:ind w:left="420"/>
      </w:pPr>
      <w:r>
        <w:t xml:space="preserve">2. ab dem 65., 125. und 185. auf die Inbetriebnahme der Anlagen folgenden Monats erst, sobald der Anlagenbetreiber gegenüber dem Netzbetreiber den nach Absatz 2 angepassten Gütefaktor nachgewiesen hat.</w:t>
      </w:r>
    </w:p>
    <w:p>
      <w:r>
        <w:t xml:space="preserve">Abweichend von Satz 1 besteht der Anspruch nach § 19 Absatz 1 in Verbindung mit Absatz 1 für Flugwindenergieanlagen an Land ohne den Nachweis des Gütefaktors gegenüber dem Netzbetreiber erst, sobald der Betreiber der Flugwindenergieanlage an Land der Bundesnetzagentur nach der Inbetriebnahme der Anlage unter Angabe der Registernummer mitgeteilt hat, dass die Anlage eine Flugwindenergieanlage an Land ist. In den Fällen des Satzes 2 wird für die Berechnung des anzulegenden Wertes angenommen, dass der Ertrag der Flugwindenergieanlage an Land 50 Prozent des Referenzertrags beträgt; dieser Gütefaktor ist auch außerhalb der Südregion anzuwenden.</w:t>
      </w:r>
    </w:p>
    <w:p>
      <w:r>
        <w:t xml:space="preserve">(4) Der Nachweis nach Absatz 3 ist zu führen durch Gutachten, die den allgemein anerkannten Regeln der Technik entsprechen und die die jeweiligen Zeiträume nach Absatz 2 Satz 1 erfassen. Es wird vermutet, dass die allgemeinen Regeln der Technik eingehalten worden sind, wenn die Technischen Richtlinien für Windenergieanlagen der „FGW e. V. – Fördergesellschaft Windenergie und andere Dezentrale Energien“[*] eingehalten und das Gutachten von einer nach DIN EN ISO IEC 17025[**] für die Anwendung dieser Richtlinie akkreditierten Institution erstellt worden ist.</w:t>
      </w:r>
    </w:p>
    <w:p>
      <w:r>
        <w:t xml:space="preserve">(5) Die anzulegenden Werte nach den Absätzen 1 und 2 werden auf zwei Stellen nach dem Komma gerundet.</w:t>
      </w:r>
    </w:p>
    <w:p>
      <w:r>
        <w:t xml:space="preserve">* Amtlicher Hinweis: Zu beziehen bei der FGW e. V. – Fördergesellschaft Windenergie und andere Erneuerbare Energien, Oranienburger Straße 45, 10117 Berlin.</w:t>
      </w:r>
    </w:p>
    <w:p>
      <w:r>
        <w:t xml:space="preserve">** Amtlicher Hinweis: Zu beziehen bei der Beuth Verlag GmbH, 10772 Berlin, und in der Deutschen Nationalbibliothek archivmäßig gesichert niedergelegt.</w:t>
      </w:r>
    </w:p>
    <w:p>
      <w:r>
        <w:rPr>
          <w:color w:val="555555"/>
          <w:sz w:val="17"/>
        </w:rPr>
        <w:t xml:space="preserve">Zitiervorschlag: § 36h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https://recht.nulegal.eu/gesetze/EEG%202014/36h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