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36f EEG 2014 — Änderungen nach Erteilung des Zuschlags für Windenergieanlagen an Land</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Zuschläge sind den Windenergieanlagen an Land, auf die sich die in dem Gebot angegebene Genehmigung bezieht, verbindlich und dauerhaft zugeordnet. Sie dürfen nicht auf andere Anlagen oder andere Genehmigungen übertragen werden.</w:t>
      </w:r>
    </w:p>
    <w:p>
      <w:r>
        <w:t xml:space="preserve">(2) Wird die Genehmigung für das bezuschlagte Projekt nach der Erteilung des Zuschlags geändert oder neu erteilt, bleibt der Zuschlag auf die geänderte oder neu erteilte Genehmigung bezogen, wenn der Standort der Windenergieanlage um höchstens die doppelte Rotorblattlänge abweicht. Der Umfang des Zuschlags verändert sich dadurch nicht.</w:t>
      </w:r>
    </w:p>
    <w:p>
      <w:r>
        <w:rPr>
          <w:color w:val="555555"/>
          <w:sz w:val="17"/>
        </w:rPr>
        <w:t xml:space="preserve">Zitiervorschlag: § 36f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