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36e EEG 2014 — Erlöschen von Zuschlägen für Windenergieanlagen an Land</w:t>
      </w:r>
    </w:p>
    <w:p>
      <w:r>
        <w:rPr>
          <w:color w:val="555555"/>
          <w:sz w:val="18"/>
        </w:rPr>
        <w:t xml:space="preserve">Erneuerbare-Energien-Gesetz</w:t>
      </w:r>
    </w:p>
    <w:p>
      <w:r>
        <w:rPr>
          <w:color w:val="555555"/>
          <w:sz w:val="18"/>
        </w:rPr>
        <w:t xml:space="preserve">Stand: 09.02.2024 (konsolidierte Textfassung, kein amtliches Inkrafttretensdatum)</w:t>
      </w:r>
    </w:p>
    <w:p>
      <w:r>
        <w:t xml:space="preserve">(1) Der Zuschlag erlischt bei Geboten für Windenergieanlagen an Land 36 Monate nach der öffentlichen Bekanntgabe des Zuschlags, soweit die Anlagen nicht bis zu diesem Zeitpunkt in Betrieb genommen worden sind.</w:t>
      </w:r>
    </w:p>
    <w:p>
      <w:r>
        <w:t xml:space="preserve">(2) Auf Antrag, den der Bieter vor Ablauf der Frist nach Absatz 1 gestellt hat, verlängert die Bundesnetzagentur die Frist, nach der der Zuschlag erlischt, wenn gegen die im bezuschlagten Gebot angegebene Genehmigung nach dem Bundes-Immissionsschutzgesetz nach der Abgabe des Gebots ein Rechtsbehelf Dritter eingelegt worden ist.Die Verlängerung soll höchstens für die Dauer der Gültigkeit der Genehmigung ausgesprochen werden, wobei der Verlängerungszeitraum unbeschadet einer Verlängerung nach Absatz 3 eine Dauer von insgesamt 18 Monaten nicht überschreiten darf.</w:t>
      </w:r>
    </w:p>
    <w:p>
      <w:r>
        <w:t xml:space="preserve">(3) Auf Antrag, den der Bieter vor Ablauf der Frist nach Absatz 1 gestellt hat, verlängert die Bundesnetzagentur die Frist, nach der der Zuschlag erlischt, wenn über das Vermögen des Herstellers des Generators oder eines sonstigen wesentlichen Bestandteils der Windenergieanlagen das Insolvenzverfahren eröffnet worden ist. Die Verlängerung soll höchstens für die Dauer der Gültigkeit der Genehmigung ausgesprochen werden, wobei der Verlängerungszeitraum unbeschadet einer Verlängerung nach Absatz 2 eine Dauer von insgesamt 18 Monaten nicht überschreiten darf.</w:t>
      </w:r>
    </w:p>
    <w:p>
      <w:r>
        <w:rPr>
          <w:color w:val="555555"/>
          <w:sz w:val="17"/>
        </w:rPr>
        <w:t xml:space="preserve">Zitiervorschlag: § 36e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https://recht.nulegal.eu/gesetze/EEG%202014/36e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