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36c EEG 2014 — Ausschluss von Geboten für Windenergieanlagen an Land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schließt Gebote für Windenergieanlagen an Land nach § 33 von dem Zuschlagsverfahren aus, wenn</w:t>
      </w:r>
    </w:p>
    <w:p>
      <w:pPr>
        <w:ind w:left="420"/>
      </w:pPr>
      <w:r>
        <w:t xml:space="preserve">1. sie für eine in dem Gebot angegebene Windenergieanlage an Land bereits einen Zuschlag erteilt hat, der zum Gebotstermin nicht entwertet worden ist, oder</w:t>
      </w:r>
    </w:p>
    <w:p>
      <w:pPr>
        <w:ind w:left="420"/>
      </w:pPr>
      <w:r>
        <w:t xml:space="preserve">2. für eine in dem Gebot angegebene Windenergieanlage an Land eine Mitteilung nach § 22b Absatz 1 Nummer 1 abgegeben wurde.</w:t>
      </w:r>
    </w:p>
    <w:p>
      <w:r>
        <w:rPr>
          <w:color w:val="555555"/>
          <w:sz w:val="17"/>
        </w:rPr>
        <w:t xml:space="preserve">Zitiervorschlag: § 36c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