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EEG 2014 — Gebote für Windenergieanlagen an Land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In Ergänzung zu den Anforderungen an Gebote nach § 30 müssen Windenergieanlagen an Land, auf die sich ein Gebot bezieht, folgende Anforderungen erfüllen:</w:t>
      </w:r>
    </w:p>
    <w:p>
      <w:pPr>
        <w:ind w:left="420"/>
      </w:pPr>
      <w:r>
        <w:t xml:space="preserve">1. die Genehmigungen nach dem Bundes-Immissionsschutzgesetz müssen für alle Anlagen vier Wochen vor dem Gebotstermin und von derselben Genehmigungsbehörde erteilt worden sein, und</w:t>
      </w:r>
    </w:p>
    <w:p>
      <w:pPr>
        <w:ind w:left="420"/>
      </w:pPr>
      <w:r>
        <w:t xml:space="preserve">2. die Anlagen müssen mit den erforderlichen Daten vier Wochen vor dem Gebotstermin als genehmigt an das Register gemeldet worden sein; die Meldefristen des Registers bleiben hiervon unberührt.</w:t>
      </w:r>
    </w:p>
    <w:p>
      <w:r>
        <w:t xml:space="preserve">(2) Bieter müssen ihren Geboten in Ergänzung zu den Anforderungen nach § 30 folgende Angaben beifügen:</w:t>
      </w:r>
    </w:p>
    <w:p>
      <w:pPr>
        <w:ind w:left="420"/>
      </w:pPr>
      <w:r>
        <w:t xml:space="preserve">1. die Nummern, unter denen die von der Genehmigung nach dem Bundes-Immissionsschutzgesetz umfassten Anlagen an das Register gemeldet worden sind,</w:t>
      </w:r>
    </w:p>
    <w:p>
      <w:pPr>
        <w:ind w:left="420"/>
      </w:pPr>
      <w:r>
        <w:t xml:space="preserve">2. das Aktenzeichen der Genehmigung nach dem Bundes-Immissionsschutzgesetz, unter dem die Genehmigung der Anlagen erteilt worden ist, sowie die Genehmigungsbehörde und deren Anschrift,</w:t>
      </w:r>
    </w:p>
    <w:p>
      <w:pPr>
        <w:ind w:left="420"/>
      </w:pPr>
      <w:r>
        <w:t xml:space="preserve">3. sofern das Gebot für mehrere Anlagen abgegeben wird, die jeweils auf die einzelne Anlage entfallende Gebotsmenge und</w:t>
      </w:r>
    </w:p>
    <w:p>
      <w:pPr>
        <w:ind w:left="420"/>
      </w:pPr>
      <w:r>
        <w:t xml:space="preserve">4. sofern das Gebot für eine Flugwindenergieanlage an Land abgegeben wird, die Angabe, dass es sich um eine solche Anlage handelt.</w:t>
      </w:r>
    </w:p>
    <w:p>
      <w:r>
        <w:t xml:space="preserve">(3) Bieter müssen ihren Geboten in Ergänzung zu den Anforderungen nach § 30 folgende Nachweise beifügen:</w:t>
      </w:r>
    </w:p>
    <w:p>
      <w:pPr>
        <w:ind w:left="420"/>
      </w:pPr>
      <w:r>
        <w:t xml:space="preserve">1. eine Eigenerklärung, dass die Genehmigung nach dem Bundes-Immissionsschutzgesetz auf sie ausgestellt worden ist, oder die Erklärung des Inhabers der entsprechenden Genehmigung, dass der Bieter das Gebot mit Zustimmung des Genehmigungsinhabers abgibt, und</w:t>
      </w:r>
    </w:p>
    <w:p>
      <w:pPr>
        <w:ind w:left="420"/>
      </w:pPr>
      <w:r>
        <w:t xml:space="preserve">2. eine Eigenerklärung des Inhabers der Genehmigung nach dem Bundes-Immissionsschutzgesetz, dass kein wirksamer Zuschlag aus früheren Ausschreibungen für Anlagen besteht, für die das Gebot abgegeben worden ist.</w:t>
      </w:r>
    </w:p>
    <w:p>
      <w:r>
        <w:t xml:space="preserve">(4) In den Fällen des § 28 Absatz 6 korrigiert die Bundesnetzagentur das nach § 29 Absatz 1 Satz 2 Nummer 2 bekanntgemachte Ausschreibungsvolumen bis spätestens zwei Wochen vor dem Gebotstermin. § 29 Absatz 2 ist entsprechend anzuwenden.</w:t>
      </w:r>
    </w:p>
    <w:p>
      <w:r>
        <w:rPr>
          <w:color w:val="555555"/>
          <w:sz w:val="17"/>
        </w:rPr>
        <w:t xml:space="preserve">Zitiervorschlag: § 36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