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35a EEG 2014 — Entwertung von Zuschlägen</w:t>
      </w:r>
    </w:p>
    <w:p>
      <w:r>
        <w:rPr>
          <w:color w:val="555555"/>
          <w:sz w:val="18"/>
        </w:rPr>
        <w:t xml:space="preserve">Erneuerbare-Energien-Gesetz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(1) Die Bundesnetzagentur entwertet einen Zuschlag,</w:t>
      </w:r>
    </w:p>
    <w:p>
      <w:pPr>
        <w:ind w:left="420"/>
      </w:pPr>
      <w:r>
        <w:t xml:space="preserve">1. soweit der Zuschlag nach Ablauf der Frist zur Realisierung der Anlage erlischt,</w:t>
      </w:r>
    </w:p>
    <w:p>
      <w:pPr>
        <w:ind w:left="420"/>
      </w:pPr>
      <w:r>
        <w:t xml:space="preserve">2. wenn der Bieter seinen Zuschlag zurückgeben darf und soweit er von diesem Recht Gebrauch gemacht hat,</w:t>
      </w:r>
    </w:p>
    <w:p>
      <w:pPr>
        <w:ind w:left="420"/>
      </w:pPr>
      <w:r>
        <w:t xml:space="preserve">3. soweit die Bundesnetzagentur den Zuschlag nach dem Verwaltungsverfahrensgesetz zurücknimmt oder widerruft oder</w:t>
      </w:r>
    </w:p>
    <w:p>
      <w:pPr>
        <w:ind w:left="420"/>
      </w:pPr>
      <w:r>
        <w:t xml:space="preserve">4. soweit der Zuschlag durch Zeitablauf oder auf sonstige Weise seine Wirksamkeit verliert.</w:t>
      </w:r>
    </w:p>
    <w:p>
      <w:r>
        <w:t xml:space="preserve">(2) Wird eine Zahlungsberechtigung nachträglich aufgehoben, wird auch der zugrundeliegende Zuschlag entwertet.</w:t>
      </w:r>
    </w:p>
    <w:p>
      <w:r>
        <w:rPr>
          <w:color w:val="555555"/>
          <w:sz w:val="17"/>
        </w:rPr>
        <w:t xml:space="preserve">Zitiervorschlag: § 35a EEG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https://recht.nulegal.eu/gesetze/EEG%202014/35a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