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EEG 2014 — Begriffsbestimmungen</w:t>
      </w:r>
    </w:p>
    <w:p>
      <w:r>
        <w:rPr>
          <w:color w:val="555555"/>
          <w:sz w:val="18"/>
        </w:rPr>
        <w:t xml:space="preserve">Erneuerbare-Energien-Gesetz</w:t>
      </w:r>
    </w:p>
    <w:p>
      <w:r>
        <w:rPr>
          <w:color w:val="555555"/>
          <w:sz w:val="18"/>
        </w:rPr>
        <w:t xml:space="preserve">Stand: 23.12.2025 (konsolidierte Textfassung, kein amtliches Inkrafttretensdatum)</w:t>
      </w:r>
    </w:p>
    <w:p>
      <w:r>
        <w:t xml:space="preserve">Im Sinn dieses Gesetzes ist oder sind</w:t>
      </w:r>
    </w:p>
    <w:p>
      <w:pPr>
        <w:ind w:left="420"/>
      </w:pPr>
      <w:r>
        <w:t xml:space="preserve">1. „Anlage“ jede Einrichtung zur Erzeugung von Strom aus erneuerbaren Energien oder aus Grubengas, wobei im Fall von Solaranlagen jedes Modul eine eigenständige Anlage ist; als Anlage gelten auch Einrichtungen, die zwischengespeicherte Energie, die ausschließlich aus erneuerbaren Energien oder Grubengas stammt, aufnehmen und in elektrische Energie umwandeln,</w:t>
      </w:r>
    </w:p>
    <w:p>
      <w:pPr>
        <w:ind w:left="420"/>
      </w:pPr>
      <w:r>
        <w:t xml:space="preserve">2. „Anlagenbetreiber“, wer unabhängig vom Eigentum die Anlage für die Erzeugung von Strom aus erneuerbaren Energien oder aus Grubengas nutzt,</w:t>
      </w:r>
    </w:p>
    <w:p>
      <w:pPr>
        <w:ind w:left="420"/>
      </w:pPr>
      <w:r>
        <w:t xml:space="preserve">3. „anzulegender Wert“ der Wert, den die Bundesnetzagentur für Elektrizität, Gas, Telekommunikation, Post und Eisenbahnen (Bundesnetzagentur) im Rahmen einer Ausschreibung nach § 22 in Verbindung mit den §§ 28 bis 39q ermittelt oder der durch die §§ 40 bis 49 gesetzlich bestimmt ist und der die Grundlage für die Berechnung der Marktprämie, der Einspeisevergütung oder des Mieterstromzuschlags ist,</w:t>
      </w:r>
    </w:p>
    <w:p>
      <w:pPr>
        <w:ind w:left="420"/>
      </w:pPr>
      <w:r>
        <w:t xml:space="preserve">3a. „ausgeförderte Anlagen“ Anlagen, die keine Windenergieanlagen an Land sind, eine installierte Leistung von bis zu 100 Kilowatt haben und vor dem 1. Januar 2021 in Betrieb genommen worden sind und bei denen der ursprüngliche Anspruch auf Zahlung nach der für die Anlage maßgeblichen Fassung des Erneuerbare-Energien-Gesetzes beendet ist; mehrere ausgeförderte Anlagen sind zur Bestimmung der Größe nach den Bestimmungen dieses Gesetzes zu ausgeförderten Anlagen als eine Anlage anzusehen, wenn sie nach der für sie maßgeblichen Fassung des Erneuerbare-Energien-Gesetzes zum Zweck der Ermittlung des Anspruchs auf Zahlung als eine Anlage galten,</w:t>
      </w:r>
    </w:p>
    <w:p>
      <w:pPr>
        <w:ind w:left="420"/>
      </w:pPr>
      <w:r>
        <w:t xml:space="preserve">4. „Ausschreibung“ ein transparentes, diskriminierungsfreies und wettbewerbliches Verfahren zur Bestimmung des Anspruchsberechtigten und des anzulegenden Werts,</w:t>
      </w:r>
    </w:p>
    <w:p>
      <w:pPr>
        <w:ind w:left="420"/>
      </w:pPr>
      <w:r>
        <w:t xml:space="preserve">5. „Ausschreibungsvolumen“ die Summe der zu installierenden Leistung, für die der Anspruch auf Zahlung einer Marktprämie zu einem Gebotstermin ausgeschrieben wird,</w:t>
      </w:r>
    </w:p>
    <w:p>
      <w:pPr>
        <w:ind w:left="420"/>
      </w:pPr>
      <w:r>
        <w:t xml:space="preserve">6. „Bemessungsleistung“ der Quotient aus der Summe der in dem jeweiligen Kalenderjahr erzeugten Kilowattstunden und der Summe der vollen Zeitstunden des jeweiligen Kalenderjahres abzüglich der vollen Stunden vor der erstmaligen Erzeugung von Strom aus erneuerbaren Energien oder aus Grubengas durch eine Anlage und nach endgültiger Stilllegung dieser Anlage,</w:t>
      </w:r>
    </w:p>
    <w:p>
      <w:pPr>
        <w:ind w:left="420"/>
      </w:pPr>
      <w:r>
        <w:t xml:space="preserve">7. „benachteiligtes Gebiet“ ein Gebiet im Sinn</w:t>
      </w:r>
    </w:p>
    <w:p>
      <w:pPr>
        <w:ind w:left="780"/>
      </w:pPr>
      <w:r>
        <w:t xml:space="preserve">a) der Richtlinie 86/465/EWG des Rates vom 14. Juli 1986 betreffend das Gemeinschaftsverzeichnis der benachteiligten landwirtschaftlichen Gebiete im Sinne der Richtlinie 75/268/EWG (Deutschland) (ABl. L 273 vom 24.9.1986, S. 1), die zuletzt durch die Entscheidung 97/172/EG (ABl. L 72 vom 13.3.1997, S. 1) geändert worden ist, oder</w:t>
      </w:r>
    </w:p>
    <w:p>
      <w:pPr>
        <w:ind w:left="780"/>
      </w:pPr>
      <w:r>
        <w:t xml:space="preserve">b) des Artikels 32 der Verordnung (EU) Nr. 1305/2013 des Europäischen Parlaments und des Rates vom 17. Dezember 2013 über die Förderung der ländlichen Entwicklung durch den Europäischen Landwirtschaftsfonds für die Entwicklung des ländlichen Raums (ELER) und zur Aufhebung der Verordnung (EG) Nr. 1698/2005 (ABl. L 347 vom 20.12.2013, S. 487) in der Fassung, die zuletzt durch die Delegierte Verordnung (EU) 2021/1017 vom 15. April 2021 (ABl. L 224 vom 24.6.2021, S. 1) geändert worden ist,</w:t>
      </w:r>
    </w:p>
    <w:p>
      <w:pPr>
        <w:ind w:left="420"/>
      </w:pPr>
      <w:r>
        <w:t xml:space="preserve">7a. „Betriebsviertelstunde“ jede Viertelstunde, in der die Anlage Strom erzeugt, unabhängig vom Grad der Auslastung der Anlage,</w:t>
      </w:r>
    </w:p>
    <w:p>
      <w:pPr>
        <w:ind w:left="420"/>
      </w:pPr>
      <w:r>
        <w:t xml:space="preserve">8. „bezuschlagtes Gebot“ ein Gebot, für das ein Zuschlag erteilt worden ist,</w:t>
      </w:r>
    </w:p>
    <w:p>
      <w:pPr>
        <w:ind w:left="420"/>
      </w:pPr>
      <w:r>
        <w:t xml:space="preserve">9. „Bilanzkreis“ ein Bilanzkreis nach § 3 Nummer 21 des Energiewirtschaftsgesetzes,</w:t>
      </w:r>
    </w:p>
    <w:p>
      <w:pPr>
        <w:ind w:left="420"/>
      </w:pPr>
      <w:r>
        <w:t xml:space="preserve">10. „Bilanzkreisvertrag“ ein Vertrag nach § 26 Absatz 1 der Stromnetzzugangsverordnung,</w:t>
      </w:r>
    </w:p>
    <w:p>
      <w:pPr>
        <w:ind w:left="420"/>
      </w:pPr>
      <w:r>
        <w:t xml:space="preserve">11. „Biogas“ jedes Gas, das durch anaerobe Vergärung von Biomasse gewonnen wird,</w:t>
      </w:r>
    </w:p>
    <w:p>
      <w:pPr>
        <w:ind w:left="420"/>
      </w:pPr>
      <w:r>
        <w:t xml:space="preserve">12. „Biomasseanlage“ jede Anlage zur Erzeugung von Strom aus Biomasse,</w:t>
      </w:r>
    </w:p>
    <w:p>
      <w:pPr>
        <w:ind w:left="420"/>
      </w:pPr>
      <w:r>
        <w:t xml:space="preserve">13. „Biomethan“ jedes Biogas oder sonstige gasförmige Biomasse, das oder die aufbereitet und in das Erdgasnetz eingespeist worden ist,</w:t>
      </w:r>
    </w:p>
    <w:p>
      <w:pPr>
        <w:ind w:left="420"/>
      </w:pPr>
      <w:r>
        <w:t xml:space="preserve">14. (weggefallen)</w:t>
      </w:r>
    </w:p>
    <w:p>
      <w:pPr>
        <w:ind w:left="420"/>
      </w:pPr>
      <w:r>
        <w:t xml:space="preserve">15. „Bürgerenergiegesellschaft“ jede Genossenschaft oder sonstige Gesellschaft,</w:t>
      </w:r>
    </w:p>
    <w:p>
      <w:pPr>
        <w:ind w:left="780"/>
      </w:pPr>
      <w:r>
        <w:t xml:space="preserve">a) die aus mindestens 50 natürlichen Personen als stimmberechtigten Mitgliedern oder stimmberechtigten Anteilseignern besteht,</w:t>
      </w:r>
    </w:p>
    <w:p>
      <w:pPr>
        <w:ind w:left="780"/>
      </w:pPr>
      <w:r>
        <w:t xml:space="preserve">b) bei der mindestens 75 Prozent der Stimmrechte bei natürlichen Personen liegen, die in einem Postleitzahlengebiet, das sich ganz oder teilweise im Umkreis von 50 Kilometern um die geplante Anlage befindet, nach dem Bundesmeldegesetz mit einer Wohnung gemeldet sind, wobei der Abstand im Fall von Solaranlagen vom äußeren Rand der jeweiligen Anlage und im Fall von Windenergieanlagen von der Turmmitte der jeweiligen Anlage gemessen wird,</w:t>
      </w:r>
    </w:p>
    <w:p>
      <w:pPr>
        <w:ind w:left="780"/>
      </w:pPr>
      <w:r>
        <w:t xml:space="preserve">c) bei der die Stimmrechte, die nicht bei natürlichen Personen liegen, ausschließlich bei Kleinstunternehmen, kleinen oder mittleren Unternehmen nach der Empfehlung 2003/361/EG der Kommission vom 6. Mai 2003 betreffend die Definition der Kleinstunternehmen sowie der kleinen und mittleren Unternehmen (ABl. L 124 vom 20.5.2003, S. 36) oder bei kommunalen Gebietskörperschaften sowie deren rechtsfähigen Zusammenschlüssen liegen, und</w:t>
      </w:r>
    </w:p>
    <w:p>
      <w:pPr>
        <w:ind w:left="780"/>
      </w:pPr>
      <w:r>
        <w:t xml:space="preserve">d) bei der kein Mitglied oder Anteilseigner der Gesellschaft mehr als 10 Prozent der Stimmrechte an der Gesellschaft hält,</w:t>
      </w:r>
    </w:p>
    <w:p>
      <w:pPr>
        <w:ind w:left="420"/>
      </w:pPr>
      <w:r>
        <w:t xml:space="preserve">wobei mit den Stimmrechten nach Buchstabe b in der Regel auch eine entsprechende tatsächliche Möglichkeit der Einflussnahme auf die Gesellschaft und der Mitwirkung an Entscheidungen der Gesellschafterversammlung verbunden sein muss, es beim Zusammenschluss von mehreren juristischen Personen oder Personengesellschaften zu einer Gesellschaft ausreicht, wenn jedes der Mitglieder der Gesellschaft die Voraussetzungen nach den Buchstaben a bis d erfüllt und es bei einer Gesellschaft, an der eine andere Gesellschaft 100 Prozent der Stimmrechte hält, ausreicht, wenn die letztere die Voraussetzungen nach den Buchstaben a bis d erfüllt,</w:t>
      </w:r>
    </w:p>
    <w:p>
      <w:pPr>
        <w:ind w:left="420"/>
      </w:pPr>
      <w:r>
        <w:t xml:space="preserve">15a. „dazugehörige Nebenanlage“ eine Nebenanlage, die der Errichtung oder dem Betrieb einer Anlage dient, einschließlich elektrischer Leitungen, Steuerungs- und Kommunikationsleitungen, Montage- und Kranstellflächen, Zuwegungen, Transformator- und Übergabestationen, wobei Anlagen jenseits der Übergabestation, einschließlich des Umspannwerks, nicht erfasst sind,</w:t>
      </w:r>
    </w:p>
    <w:p>
      <w:pPr>
        <w:ind w:left="420"/>
      </w:pPr>
      <w:r>
        <w:t xml:space="preserve">16. „Direktvermarktung“ die Veräußerung von Strom aus erneuerbaren Energien oder aus Grubengas an Dritte, es sei denn, der Strom wird in unmittelbarer räumlicher Nähe zur Anlage verbraucht und nicht durch ein Netz durchgeleitet,</w:t>
      </w:r>
    </w:p>
    <w:p>
      <w:pPr>
        <w:ind w:left="420"/>
      </w:pPr>
      <w:r>
        <w:t xml:space="preserve">17. „Direktvermarktungsunternehmer“, wer von dem Anlagenbetreiber mit der Direktvermarktung von Strom aus erneuerbaren Energien oder aus Grubengas beauftragt ist oder Strom aus erneuerbaren Energien oder aus Grubengas kaufmännisch abnimmt, ohne insoweit Letztverbraucher dieses Stroms oder Netzbetreiber zu sein,</w:t>
      </w:r>
    </w:p>
    <w:p>
      <w:pPr>
        <w:ind w:left="420"/>
      </w:pPr>
      <w:r>
        <w:t xml:space="preserve">18. (weggefallen)</w:t>
      </w:r>
    </w:p>
    <w:p>
      <w:pPr>
        <w:ind w:left="420"/>
      </w:pPr>
      <w:r>
        <w:t xml:space="preserve">19. (weggefallen)</w:t>
      </w:r>
    </w:p>
    <w:p>
      <w:pPr>
        <w:ind w:left="420"/>
      </w:pPr>
      <w:r>
        <w:t xml:space="preserve">20. (weggefallen)</w:t>
      </w:r>
    </w:p>
    <w:p>
      <w:pPr>
        <w:ind w:left="420"/>
      </w:pPr>
      <w:r>
        <w:t xml:space="preserve">21. „erneuerbare Energien“</w:t>
      </w:r>
    </w:p>
    <w:p>
      <w:pPr>
        <w:ind w:left="780"/>
      </w:pPr>
      <w:r>
        <w:t xml:space="preserve">a) Wasserkraft einschließlich der Wellen-, Gezeiten-, Salzgradienten- und Strömungsenergie,</w:t>
      </w:r>
    </w:p>
    <w:p>
      <w:pPr>
        <w:ind w:left="780"/>
      </w:pPr>
      <w:r>
        <w:t xml:space="preserve">b) Windenergie,</w:t>
      </w:r>
    </w:p>
    <w:p>
      <w:pPr>
        <w:ind w:left="780"/>
      </w:pPr>
      <w:r>
        <w:t xml:space="preserve">c) solare Strahlungsenergie,</w:t>
      </w:r>
    </w:p>
    <w:p>
      <w:pPr>
        <w:ind w:left="780"/>
      </w:pPr>
      <w:r>
        <w:t xml:space="preserve">d) Geothermie,</w:t>
      </w:r>
    </w:p>
    <w:p>
      <w:pPr>
        <w:ind w:left="780"/>
      </w:pPr>
      <w:r>
        <w:t xml:space="preserve">e) Energie aus Biomasse einschließlich Biogas, Biomethan, Deponiegas und Klärgas sowie aus dem biologisch abbaubaren Anteil von Abfällen aus Haushalten und Industrie,</w:t>
      </w:r>
    </w:p>
    <w:p>
      <w:pPr>
        <w:ind w:left="420"/>
      </w:pPr>
      <w:r>
        <w:t xml:space="preserve">21a. „Flugwindenergieanlage an Land“ jede Windenergieanlage an Land, die Strom aus Windenergie mittels unbemannter Flugkörper erzeugt, die über Seile oder Leinen mit einer stationären Bodenstation verbunden sind,</w:t>
      </w:r>
    </w:p>
    <w:p>
      <w:pPr>
        <w:ind w:left="420"/>
      </w:pPr>
      <w:r>
        <w:t xml:space="preserve">22. „Freiflächenanlage“ jede Solaranlage, die nicht auf, an oder in einem Gebäude oder einer sonstigen baulichen Anlage angebracht ist, die vorrangig zu anderen Zwecken als der Erzeugung von Strom aus solarer Strahlungsenergie errichtet worden ist,</w:t>
      </w:r>
    </w:p>
    <w:p>
      <w:pPr>
        <w:ind w:left="420"/>
      </w:pPr>
      <w:r>
        <w:t xml:space="preserve">23. „Gebäude“ jede selbständig benutzbare, überdeckte bauliche Anlage, die von Menschen betreten werden kann und vorrangig dazu bestimmt ist, dem Schutz von Menschen, Tieren oder Sachen zu dienen,</w:t>
      </w:r>
    </w:p>
    <w:p>
      <w:pPr>
        <w:ind w:left="420"/>
      </w:pPr>
      <w:r>
        <w:t xml:space="preserve">24. „Gebotsmenge“ die zu installierende Leistung in Kilowatt, für die der Bieter ein Gebot abgegeben hat,</w:t>
      </w:r>
    </w:p>
    <w:p>
      <w:pPr>
        <w:ind w:left="420"/>
      </w:pPr>
      <w:r>
        <w:t xml:space="preserve">25. „Gebotstermin“ der Kalendertag, an dem die Frist für die Abgabe von Geboten für eine Ausschreibung abläuft,</w:t>
      </w:r>
    </w:p>
    <w:p>
      <w:pPr>
        <w:ind w:left="420"/>
      </w:pPr>
      <w:r>
        <w:t xml:space="preserve">26. „Gebotswert“ der anzulegende Wert, den der Bieter in seinem Gebot angegeben hat,</w:t>
      </w:r>
    </w:p>
    <w:p>
      <w:pPr>
        <w:ind w:left="420"/>
      </w:pPr>
      <w:r>
        <w:t xml:space="preserve">27. „Generator“ jede technische Einrichtung, die mechanische, chemische, thermische oder elektromagnetische Energie direkt in elektrische Energie umwandelt,</w:t>
      </w:r>
    </w:p>
    <w:p>
      <w:pPr>
        <w:ind w:left="420"/>
      </w:pPr>
      <w:r>
        <w:t xml:space="preserve">27a. „Grüner Wasserstoff“ Wasserstoff, der nach Maßgabe der Verordnung nach § 93 elektrochemisch durch den Verbrauch von Strom aus erneuerbaren Energien hergestellt wird, wobei der Wasserstoff zur Speicherung oder zum Transport auch in anderen Energieträgern chemisch oder physikalisch gespeichert werden kann,</w:t>
      </w:r>
    </w:p>
    <w:p>
      <w:pPr>
        <w:ind w:left="420"/>
      </w:pPr>
      <w:r>
        <w:t xml:space="preserve">28. „Gülle“ jeder Stoff, der Gülle ist im Sinn der Verordnung (EG) Nr. 1069/2009 des Europäischen Parlaments und des Rates vom 21. Oktober 2009 mit Hygienevorschriften für nicht für den menschlichen Verzehr bestimmte tierische Nebenprodukte und zur Aufhebung der Verordnung (EG) Nr. 1774/2002 (Verordnung über tierische Nebenprodukte) (ABl. L 300 vom 14.11.2009, S. 1), die durch die Verordnung (EU) Nr. 1385/2013 (ABl. L 354 vom 28.12.2013, S. 86) geändert worden ist,</w:t>
      </w:r>
    </w:p>
    <w:p>
      <w:pPr>
        <w:ind w:left="420"/>
      </w:pPr>
      <w:r>
        <w:t xml:space="preserve">29. „Herkunftsnachweis“ ein elektronisches Dokument, das ausschließlich dazu dient, gegenüber einem Letztverbraucher im Rahmen der Stromkennzeichnung nach § 42 Absatz 1 Nummer 1 des Energiewirtschaftsgesetzes nachzuweisen, dass ein bestimmter Anteil oder eine bestimmte Menge des Stroms aus erneuerbaren Energien erzeugt wurde,</w:t>
      </w:r>
    </w:p>
    <w:p>
      <w:pPr>
        <w:ind w:left="420"/>
      </w:pPr>
      <w:r>
        <w:t xml:space="preserve">29a. „hocheffiziente KWK-Anlage“ eine KWK-Anlage, die den Vorgaben der Richtlinie 2012/27/EU des Europäischen Parlaments und des Rates vom 25. Oktober 2012 zur Energieeffizienz, zur Änderung der Richtlinien 2009/125/EG und 2010/30/EU und zur Aufhebung der Richtlinien 2004/8/EG und 2006/32/EG (ABl. L 315 vom 14.11.2012, S. 1), die zuletzt durch die Richtlinie (EU) 2019/944 (ABl. L 158 vom 14.6.2019, S. 125) geändert worden ist, in der jeweils geltenden Fassung entspricht,</w:t>
      </w:r>
    </w:p>
    <w:p>
      <w:pPr>
        <w:ind w:left="420"/>
      </w:pPr>
      <w:r>
        <w:t xml:space="preserve">30. „Inbetriebnahme“ die erstmalige Inbetriebsetzung der Anlage ausschließlich mit erneuerbaren Energien oder Grubengas nach Herstellung der technischen Betriebsbereitschaft der Anlage; die technische Betriebsbereitschaft setzt voraus, dass die Anlage fest an dem für den dauerhaften Betrieb vorgesehenen Ort und dauerhaft mit dem für die Erzeugung von Wechselstrom erforderlichen Zubehör installiert wurde; der Austausch des Generators oder sonstiger technischer oder baulicher Teile nach der erstmaligen Inbetriebnahme führt nicht zu einer Änderung des Zeitpunkts der Inbetriebnahme,</w:t>
      </w:r>
    </w:p>
    <w:p>
      <w:pPr>
        <w:ind w:left="420"/>
      </w:pPr>
      <w:r>
        <w:t xml:space="preserve">31. „installierte Leistung“ die elektrische Wirkleistung, die eine Anlage bei bestimmungsgemäßem Betrieb ohne zeitliche Einschränkungen unbeschadet kurzfristiger geringfügiger Abweichungen technisch erbringen kann,</w:t>
      </w:r>
    </w:p>
    <w:p>
      <w:pPr>
        <w:ind w:left="420"/>
      </w:pPr>
      <w:r>
        <w:t xml:space="preserve">32. „KWK-Anlage“ jede KWK-Anlage im Sinn von § 2 Nummer 14 des Kraft-Wärme-Kopplungsgesetzes,</w:t>
      </w:r>
    </w:p>
    <w:p>
      <w:pPr>
        <w:ind w:left="420"/>
      </w:pPr>
      <w:r>
        <w:t xml:space="preserve">33. „Letztverbraucher“ jede natürliche oder juristische Person, die Strom verbraucht,</w:t>
      </w:r>
    </w:p>
    <w:p>
      <w:pPr>
        <w:ind w:left="420"/>
      </w:pPr>
      <w:r>
        <w:t xml:space="preserve">34. „Marktwert“ der für die Berechnung der Höhe der Marktprämie für den Strom aus einer Anlage nach Anlage 1 Nummer 2 maßgebliche Wert:</w:t>
      </w:r>
    </w:p>
    <w:p>
      <w:pPr>
        <w:ind w:left="780"/>
      </w:pPr>
      <w:r>
        <w:t xml:space="preserve">a) der energieträgerspezifische Marktwert von Strom aus erneuerbaren Energien oder aus Grubengas, der sich nach Anlage 1 Nummer 3 aus dem tatsächlichen Monatsmittelwert des Spotmarktpreises bezogen auf einen Kalendermonat ergibt (Monatsmarktwert), oder</w:t>
      </w:r>
    </w:p>
    <w:p>
      <w:pPr>
        <w:ind w:left="780"/>
      </w:pPr>
      <w:r>
        <w:t xml:space="preserve">b) der energieträgerspezifische Marktwert von Strom aus erneuerbaren Energien oder aus Grubengas, der sich nach Anlage 1 Nummer 4 aus dem tatsächlichen Jahresmittelwert des Spotmarktpreises bezogen auf ein Kalenderjahr ergibt (Jahresmarktwert),</w:t>
      </w:r>
    </w:p>
    <w:p>
      <w:pPr>
        <w:ind w:left="420"/>
      </w:pPr>
      <w:r>
        <w:t xml:space="preserve">soweit der Marktwert maßgeblich ist für Strom, der in einer Veräußerungsform einer Einspeisevergütung veräußert wird, ist „Marktwert“ der Wert, der maßgeblich wäre, wenn dieser Strom direkt vermarktet würde,</w:t>
      </w:r>
    </w:p>
    <w:p>
      <w:pPr>
        <w:ind w:left="420"/>
      </w:pPr>
      <w:r>
        <w:t xml:space="preserve">34a. „Moorboden“ jeder Boden, der die Voraussetzungen des § 11 Absatz 2 der GAP-Konditionalitäten-Verordnung erfüllt und der Erstellung der Gebietskulisse nach § 11 Absatz 3 der GAP-Konditionalitäten-Verordnung zugrunde gelegt werden kann,</w:t>
      </w:r>
    </w:p>
    <w:p>
      <w:pPr>
        <w:ind w:left="420"/>
      </w:pPr>
      <w:r>
        <w:t xml:space="preserve">34b. „naturschutzrelevante Ackerflächen“ Flächen, die landwirtschaftlich genutzt werden und mindestens einen hohen Biotopwert im Sinn des § 5 Absatz 2 Nummer 4 der Bundeskompensationsverordnung aufweisen,</w:t>
      </w:r>
    </w:p>
    <w:p>
      <w:pPr>
        <w:ind w:left="420"/>
      </w:pPr>
      <w:r>
        <w:t xml:space="preserve">35. „Netz“ die Gesamtheit der miteinander verbundenen technischen Einrichtungen zur Abnahme, Übertragung und Verteilung von Elektrizität für die allgemeine Versorgung,</w:t>
      </w:r>
    </w:p>
    <w:p>
      <w:pPr>
        <w:ind w:left="420"/>
      </w:pPr>
      <w:r>
        <w:t xml:space="preserve">36. „Netzbetreiber“ jeder Betreiber eines Netzes für die allgemeine Versorgung mit Elektrizität, unabhängig von der Spannungsebene,</w:t>
      </w:r>
    </w:p>
    <w:p>
      <w:pPr>
        <w:ind w:left="420"/>
      </w:pPr>
      <w:r>
        <w:t xml:space="preserve">37. „Pilotwindenergieanlagen an Land“</w:t>
      </w:r>
    </w:p>
    <w:p>
      <w:pPr>
        <w:ind w:left="780"/>
      </w:pPr>
      <w:r>
        <w:t xml:space="preserve">a) die jeweils ersten zwei als Pilotwindenergieanlagen an Land an das Register gemeldeten Windenergieanlagen eines Typs an Land, die nachweislich</w:t>
      </w:r>
    </w:p>
    <w:p>
      <w:pPr>
        <w:ind w:left="1140"/>
      </w:pPr>
      <w:r>
        <w:t xml:space="preserve">aa) wesentliche technische Weiterentwicklungen oder Neuerungen insbesondere bei der Generatorleistung, dem Rotordurchmesser, der Nabenhöhe, dem Turmtypen oder der Gründungsstruktur aufweisen und</w:t>
      </w:r>
    </w:p>
    <w:p>
      <w:pPr>
        <w:ind w:left="1140"/>
      </w:pPr>
      <w:r>
        <w:t xml:space="preserve">bb) einer Typenprüfung oder einer Einheitenzertifizierung bedürfen, die zum Zeitpunkt der Inbetriebnahme noch nicht erteilt ist und erst nach der Inbetriebnahme einer Anlage erteilt werden kann, oder</w:t>
      </w:r>
    </w:p>
    <w:p>
      <w:pPr>
        <w:ind w:left="780"/>
      </w:pPr>
      <w:r>
        <w:t xml:space="preserve">b) die als Pilotwindenergieanlagen an Land an das Register gemeldeten Windenergieanlagen an Land,</w:t>
      </w:r>
    </w:p>
    <w:p>
      <w:pPr>
        <w:ind w:left="1140"/>
      </w:pPr>
      <w:r>
        <w:t xml:space="preserve">aa) die vorwiegend zu Zwecken der Forschung und Entwicklung errichtet werden und</w:t>
      </w:r>
    </w:p>
    <w:p>
      <w:pPr>
        <w:ind w:left="1140"/>
      </w:pPr>
      <w:r>
        <w:t xml:space="preserve">bb) mit denen eine wesentliche, weit über den Stand der Technik hinausgehende Innovation erprobt wird; die Innovation kann insbesondere die Generatorleistung, den Rotordurchmesser, die Nabenhöhe, den Turmtypen, die Gründungsstruktur oder die Betriebsführung der Anlage betreffen,</w:t>
      </w:r>
    </w:p>
    <w:p>
      <w:pPr>
        <w:ind w:left="420"/>
      </w:pPr>
      <w:r>
        <w:t xml:space="preserve">38. „Regionalnachweis“ ein elektronisches Dokument, das ausschließlich dazu dient, im Rahmen der Stromkennzeichnung nach § 42 des Energiewirtschaftsgesetzes gegenüber einem Letztverbraucher die regionale Herkunft eines bestimmten Anteils oder einer bestimmten Menge des verbrauchten Stroms aus erneuerbaren Energien nachzuweisen,</w:t>
      </w:r>
    </w:p>
    <w:p>
      <w:pPr>
        <w:ind w:left="420"/>
      </w:pPr>
      <w:r>
        <w:t xml:space="preserve">39. „Register“ das Marktstammdatenregister nach § 111e des Energiewirtschaftsgesetzes,</w:t>
      </w:r>
    </w:p>
    <w:p>
      <w:pPr>
        <w:ind w:left="420"/>
      </w:pPr>
      <w:r>
        <w:t xml:space="preserve">40. (weggefallen)</w:t>
      </w:r>
    </w:p>
    <w:p>
      <w:pPr>
        <w:ind w:left="420"/>
      </w:pPr>
      <w:r>
        <w:t xml:space="preserve">41. „Solaranlage“ jede Anlage zur Erzeugung von Strom aus solarer Strahlungsenergie,</w:t>
      </w:r>
    </w:p>
    <w:p>
      <w:pPr>
        <w:ind w:left="420"/>
      </w:pPr>
      <w:r>
        <w:t xml:space="preserve">41a. „Solaranlage des ersten Segments“ jede Freiflächenanlage und jede Solaranlage auf, an oder in einer baulichen Anlage, die weder Gebäude noch Lärmschutzwand ist,</w:t>
      </w:r>
    </w:p>
    <w:p>
      <w:pPr>
        <w:ind w:left="420"/>
      </w:pPr>
      <w:r>
        <w:t xml:space="preserve">41b. „Solaranlage des zweiten Segments“ jede Solaranlage auf, an oder in einem Gebäude oder einer Lärmschutzwand,</w:t>
      </w:r>
    </w:p>
    <w:p>
      <w:pPr>
        <w:ind w:left="420"/>
      </w:pPr>
      <w:r>
        <w:t xml:space="preserve">42. „Speichergas“ jedes Gas, das keine erneuerbare Energie ist, aber zum Zweck der Zwischenspeicherung von Strom aus erneuerbaren Energien ausschließlich unter Einsatz von Strom aus erneuerbaren Energien erzeugt wird,</w:t>
      </w:r>
    </w:p>
    <w:p>
      <w:pPr>
        <w:ind w:left="420"/>
      </w:pPr>
      <w:r>
        <w:t xml:space="preserve">42a. „Spotmarktpreis“ der Strompreis in Cent pro Kilowattstunde, der sich in der Preiszone für Deutschland aus der Kopplung der Orderbücher aller Strombörsen in der vortägigen Auktion von Stromviertelstundenkontrakten am Day-Ahead-Markt ergibt; wenn die Kopplung der Orderbücher aller Strombörsen nicht oder nur teilweise erfolgt, ist für die Dauer der unvollständigen Kopplung der Durchschnittspreis aller Strombörsen gewichtet nach dem jeweiligen Handelsvolumen zugrunde zu legen,</w:t>
      </w:r>
    </w:p>
    <w:p>
      <w:pPr>
        <w:ind w:left="420"/>
      </w:pPr>
      <w:r>
        <w:t xml:space="preserve">43. „Steckersolargerät“ ein Gerät, das aus einer Solaranlage oder aus mehreren Solaranlagen, einem Wechselrichter, einer Anschlussleitung und einem Stecker zur Verbindung mit dem Endstromkreis eines Letztverbrauchers besteht,</w:t>
      </w:r>
    </w:p>
    <w:p>
      <w:pPr>
        <w:ind w:left="420"/>
      </w:pPr>
      <w:r>
        <w:t xml:space="preserve">43a. „Strombörse“ eine Börse, an der für die Preiszone für Deutschland Stromprodukte gehandelt werden können,</w:t>
      </w:r>
    </w:p>
    <w:p>
      <w:pPr>
        <w:ind w:left="420"/>
      </w:pPr>
      <w:r>
        <w:t xml:space="preserve">43b. (weggefallen)</w:t>
      </w:r>
    </w:p>
    <w:p>
      <w:pPr>
        <w:ind w:left="420"/>
      </w:pPr>
      <w:r>
        <w:t xml:space="preserve">43c. „Südregion“ das Gebiet, das die Gebietskörperschaften umfasst, die in Anlage 5 aufgeführt sind,</w:t>
      </w:r>
    </w:p>
    <w:p>
      <w:pPr>
        <w:ind w:left="420"/>
      </w:pPr>
      <w:r>
        <w:t xml:space="preserve">44. „Übertragungsnetzbetreiber“ der regelverantwortliche Netzbetreiber von Hoch- und Höchstspannungsnetzen, die der überregionalen Übertragung von Elektrizität zu anderen Netzen dienen,</w:t>
      </w:r>
    </w:p>
    <w:p>
      <w:pPr>
        <w:ind w:left="420"/>
      </w:pPr>
      <w:r>
        <w:t xml:space="preserve">45. (weggefallen)</w:t>
      </w:r>
    </w:p>
    <w:p>
      <w:pPr>
        <w:ind w:left="420"/>
      </w:pPr>
      <w:r>
        <w:t xml:space="preserve">46. „Umweltgutachter“ jede Person oder Organisation, die nach dem Umweltauditgesetz in der jeweils geltenden Fassung als Umweltgutachter oder Umweltgutachterorganisation tätig werden darf,</w:t>
      </w:r>
    </w:p>
    <w:p>
      <w:pPr>
        <w:ind w:left="420"/>
      </w:pPr>
      <w:r>
        <w:t xml:space="preserve">46a. „unentgeltliche Abnahme“ die Veräußerungsform der Einspeisevergütung in der Variante nach § 21 Absatz 1 Satz 1 Nummer 2,</w:t>
      </w:r>
    </w:p>
    <w:p>
      <w:pPr>
        <w:ind w:left="420"/>
      </w:pPr>
      <w:r>
        <w:t xml:space="preserve">47. „Unternehmen in Schwierigkeiten“ ein Unternehmen in Schwierigkeiten im Sinn der Mitteilung der Kommission – Leitlinien für staatliche Beihilfen zur Rettung und Umstrukturierung nichtfinanzieller Unternehmen in Schwierigkeiten (ABl. C 249 vom 31.7.2014, S. 1),</w:t>
      </w:r>
    </w:p>
    <w:p>
      <w:pPr>
        <w:ind w:left="420"/>
      </w:pPr>
      <w:r>
        <w:t xml:space="preserve">47a. „Wärmeversorgungseinrichtung“ eine Einrichtung zur leitungsgebundenen Versorgung von mehreren Gebäuden mit Wärme aus einer Biomasseanlage mit einer thermischen Gesamtnennleistung von mindestens 300 Kilowatt,</w:t>
      </w:r>
    </w:p>
    <w:p>
      <w:pPr>
        <w:ind w:left="420"/>
      </w:pPr>
      <w:r>
        <w:t xml:space="preserve">48. „Windenergieanlage an Land“ jede Anlage zur Erzeugung von Strom aus Windenergie, die keine Windenergieanlage auf See ist,</w:t>
      </w:r>
    </w:p>
    <w:p>
      <w:pPr>
        <w:ind w:left="420"/>
      </w:pPr>
      <w:r>
        <w:t xml:space="preserve">49. „Windenergieanlage auf See“ jede Anlage im Sinn von § 3 Nummer 11 des Windenergie-auf-See-Gesetzes,</w:t>
      </w:r>
    </w:p>
    <w:p>
      <w:pPr>
        <w:ind w:left="420"/>
      </w:pPr>
      <w:r>
        <w:t xml:space="preserve">50. „Wohngebäude“ jedes Gebäude, das nach seiner Zweckbestimmung überwiegend dem Wohnen dient, einschließlich Wohn-, Alten- und Pflegeheimen sowie ähnlichen Einrichtungen,</w:t>
      </w:r>
    </w:p>
    <w:p>
      <w:pPr>
        <w:ind w:left="420"/>
      </w:pPr>
      <w:r>
        <w:t xml:space="preserve">50a. „Zuschlag“ der Verwaltungsakt, mit dem die Bundesnetzagentur ein Gebot in einem Ausschreibungsverfahren bezuschlagt,</w:t>
      </w:r>
    </w:p>
    <w:p>
      <w:pPr>
        <w:ind w:left="420"/>
      </w:pPr>
      <w:r>
        <w:t xml:space="preserve">51. „Zuschlagswert“ der anzulegende Wert, zu dem ein Zuschlag in einer Ausschreibung erteilt wird; er entspricht dem Gebotswert, soweit sich aus den nachfolgenden Bestimmungen nichts anderes ergibt.</w:t>
      </w:r>
    </w:p>
    <w:p>
      <w:r>
        <w:rPr>
          <w:color w:val="555555"/>
          <w:sz w:val="17"/>
        </w:rPr>
        <w:t xml:space="preserve">Zitiervorschlag: § 3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