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28f EEG 2014 — Ausschreibungsvolumen und Gebotstermine für innovative Konzepte mit wasserstoffbasierter Stromspeicherung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Ausschreibungen für innovative Konzepte mit wasserstoffbasierter Stromspeicherung nach § 39o finden statt:</w:t>
      </w:r>
    </w:p>
    <w:p>
      <w:pPr>
        <w:ind w:left="420"/>
      </w:pPr>
      <w:r>
        <w:t xml:space="preserve">1. im Jahr 2023 zum Gebotstermin am 15. Dezember,</w:t>
      </w:r>
    </w:p>
    <w:p>
      <w:pPr>
        <w:ind w:left="420"/>
      </w:pPr>
      <w:r>
        <w:t xml:space="preserve">2. im Jahr 2024 zum Gebotstermin am 1. Juli und</w:t>
      </w:r>
    </w:p>
    <w:p>
      <w:pPr>
        <w:ind w:left="420"/>
      </w:pPr>
      <w:r>
        <w:t xml:space="preserve">3. in den Jahren 2025 bis 2028 jeweils zu den Gebotsterminen am 1. Januar und am 1. Juli.</w:t>
      </w:r>
    </w:p>
    <w:p>
      <w:r>
        <w:t xml:space="preserve">(2) Das Ausschreibungsvolumen für die Ausschreibungen nach § 39o beträgt vorbehaltlich einer abweichenden Bestimmung in der Verordnung nach § 88e</w:t>
      </w:r>
    </w:p>
    <w:p>
      <w:pPr>
        <w:ind w:left="420"/>
      </w:pPr>
      <w:r>
        <w:t xml:space="preserve">1. im Jahr 2023 400 Megawatt zu installierende Leistung,</w:t>
      </w:r>
    </w:p>
    <w:p>
      <w:pPr>
        <w:ind w:left="420"/>
      </w:pPr>
      <w:r>
        <w:t xml:space="preserve">2. im Jahr 2024 600 Megawatt zu installierende Leistung,</w:t>
      </w:r>
    </w:p>
    <w:p>
      <w:pPr>
        <w:ind w:left="420"/>
      </w:pPr>
      <w:r>
        <w:t xml:space="preserve">3. im Jahr 2025 700 Megawatt zu installierende Leistung,</w:t>
      </w:r>
    </w:p>
    <w:p>
      <w:pPr>
        <w:ind w:left="420"/>
      </w:pPr>
      <w:r>
        <w:t xml:space="preserve">4. im Jahr 2026 800 Megawatt zu installierende Leistung,</w:t>
      </w:r>
    </w:p>
    <w:p>
      <w:pPr>
        <w:ind w:left="420"/>
      </w:pPr>
      <w:r>
        <w:t xml:space="preserve">5. im Jahr 2027 900 Megawatt zu installierende Leistung und</w:t>
      </w:r>
    </w:p>
    <w:p>
      <w:pPr>
        <w:ind w:left="420"/>
      </w:pPr>
      <w:r>
        <w:t xml:space="preserve">6. im Jahr 2028 1 000 Megawatt zu installierende Leistung.</w:t>
      </w:r>
    </w:p>
    <w:p>
      <w:r>
        <w:t xml:space="preserve">Das Ausschreibungsvolumen wird jeweils gleichmäßig auf die Gebotstermine eines Kalenderjahres verteilt, wenn mehrere Gebotstermine in einem Jahr durchgeführt werden.</w:t>
      </w:r>
    </w:p>
    <w:p>
      <w:r>
        <w:t xml:space="preserve">(3) Das Ausschreibungsvolumen erhöht sich ab dem Jahr 2024 jeweils um die Mengen, für die in dem jeweils vorangegangenen Kalenderjahr bei den Ausschreibungen nach § 39o keine Zuschläge erteilt werden konnten.</w:t>
      </w:r>
    </w:p>
    <w:p>
      <w:r>
        <w:t xml:space="preserve">(4) Die Bundesnetzagentur verteilt die Menge, um die sich das Ausschreibungsvolumen nach Absatz 3 erhöht, gleichmäßig auf das Ausschreibungsvolumen der folgenden zwei noch nicht bekanntgegebenen Gebotstermine.</w:t>
      </w:r>
    </w:p>
    <w:p>
      <w:r>
        <w:rPr>
          <w:color w:val="555555"/>
          <w:sz w:val="17"/>
        </w:rPr>
        <w:t xml:space="preserve">Zitiervorschlag: § 28f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https://recht.nulegal.eu/gesetze/EEG%202014/28f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