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EEG 2014 — Ausschreibungsvolumen und Gebotstermine für Windenergie an Land</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Die Ausschreibungen für Windenergieanlagen an Land finden in den Jahren 2023 bis 2028 jeweils zu den Gebotsterminen am 1. Februar, 1. Mai, 1. August und 1. November statt.</w:t>
      </w:r>
    </w:p>
    <w:p>
      <w:r>
        <w:t xml:space="preserve">(2) Das Ausschreibungsvolumen beträgt</w:t>
      </w:r>
    </w:p>
    <w:p>
      <w:pPr>
        <w:ind w:left="420"/>
      </w:pPr>
      <w:r>
        <w:t xml:space="preserve">1. im Jahr 2023 12 840 Megawatt zu installierende Leistung und</w:t>
      </w:r>
    </w:p>
    <w:p>
      <w:pPr>
        <w:ind w:left="420"/>
      </w:pPr>
      <w:r>
        <w:t xml:space="preserve">2. in den Jahren 2024 bis 2028 jeweils 10 000 Megawatt zu installierende Leistung.</w:t>
      </w:r>
    </w:p>
    <w:p>
      <w:r>
        <w:t xml:space="preserve">Das Ausschreibungsvolumen wird jeweils gleichmäßig auf die Gebotstermine eines Kalenderjahres verteilt.</w:t>
      </w:r>
    </w:p>
    <w:p>
      <w:r>
        <w:t xml:space="preserve">(3) Das Ausschreibungsvolumen</w:t>
      </w:r>
    </w:p>
    <w:p>
      <w:pPr>
        <w:ind w:left="420"/>
      </w:pPr>
      <w:r>
        <w:t xml:space="preserve">1. erhöht sich ab dem Jahr 2024 um die Mengen, für die in dem jeweils vorangegangenen Kalenderjahr bei den Ausschreibungen für Windenergieanlagen an Land nach diesem Gesetz keine Zuschläge erteilt werden konnten, und</w:t>
      </w:r>
    </w:p>
    <w:p>
      <w:pPr>
        <w:ind w:left="420"/>
      </w:pPr>
      <w:r>
        <w:t xml:space="preserve">2. verringert sich jeweils</w:t>
      </w:r>
    </w:p>
    <w:p>
      <w:pPr>
        <w:ind w:left="780"/>
      </w:pPr>
      <w:r>
        <w:t xml:space="preserve">a) um die Summe der installierten Leistung der Windenergieanlagen an Land, die bei einer Ausschreibung eines anderen Mitgliedstaates der Europäischen Union in dem jeweils vorangegangenen Kalenderjahr im Bundesgebiet bezuschlagt worden sind, sofern eine Anrechnung im Sinn von § 5 Absatz 5 völkerrechtlich vereinbart ist,</w:t>
      </w:r>
    </w:p>
    <w:p>
      <w:pPr>
        <w:ind w:left="780"/>
      </w:pPr>
      <w:r>
        <w:t xml:space="preserve">b) um die Summe der installierten Leistung der Windenergieanlagen an Land, für deren Strom kein anzulegender Wert oder der anzulegende Wert nicht durch Ausschreibungen bestimmt worden ist und die in dem jeweils vorangegangenen Kalenderjahr an das Register als in Betrieb genommen gemeldet worden sind,</w:t>
      </w:r>
    </w:p>
    <w:p>
      <w:pPr>
        <w:ind w:left="780"/>
      </w:pPr>
      <w:r>
        <w:t xml:space="preserve">c) um die Summe der Gebotsmengen für Windenergieanlagen an Land, die in den Ausschreibungen nach § 39n in dem jeweils vorangegangenen Kalenderjahr bezuschlagt worden sind, und</w:t>
      </w:r>
    </w:p>
    <w:p>
      <w:pPr>
        <w:ind w:left="780"/>
      </w:pPr>
      <w:r>
        <w:t xml:space="preserve">d) um die Summe der Gebotsmengen für Windenergieanlagen an Land, die in den Ausschreibungen nach § 39o in dem jeweils vorangegangenen Kalenderjahr bezuschlagt worden sind.</w:t>
      </w:r>
    </w:p>
    <w:p>
      <w:r>
        <w:t xml:space="preserve">(3a) Die Bundesnetzagentur kann das Ausschreibungsvolumen unbeschadet des Absatzes 3</w:t>
      </w:r>
    </w:p>
    <w:p>
      <w:pPr>
        <w:ind w:left="420"/>
      </w:pPr>
      <w:r>
        <w:t xml:space="preserve">1. um bis zu 30 Prozent erhöhen, wenn in dem jeweils vorangegangenen Kalenderjahr</w:t>
      </w:r>
    </w:p>
    <w:p>
      <w:pPr>
        <w:ind w:left="780"/>
      </w:pPr>
      <w:r>
        <w:t xml:space="preserve">a) der Ausbaupfad für die installierte Leistung von Solaranlagen nach § 4 Satz 1 Nummer 3 unterschritten worden ist,</w:t>
      </w:r>
    </w:p>
    <w:p>
      <w:pPr>
        <w:ind w:left="780"/>
      </w:pPr>
      <w:r>
        <w:t xml:space="preserve">b) der Strommengenpfad nach § 4a unterschritten worden ist oder</w:t>
      </w:r>
    </w:p>
    <w:p>
      <w:pPr>
        <w:ind w:left="780"/>
      </w:pPr>
      <w:r>
        <w:t xml:space="preserve">c) der Bruttostromverbrauch im Bundesgebiet schneller gestiegen ist, als er bei der Berechnung des Ziels nach § 1 Absatz 2 zugrunde gelegt worden ist,</w:t>
      </w:r>
    </w:p>
    <w:p>
      <w:pPr>
        <w:ind w:left="420"/>
      </w:pPr>
      <w:r>
        <w:t xml:space="preserve">2. um bis zu 30 Prozent verringern, wenn in dem jeweils vorangegangenen Kalenderjahr</w:t>
      </w:r>
    </w:p>
    <w:p>
      <w:pPr>
        <w:ind w:left="780"/>
      </w:pPr>
      <w:r>
        <w:t xml:space="preserve">a) der Ausbaupfad für die installierte Leistung von Solaranlagen nach § 4 Satz 1 Nummer 3 überschritten worden ist,</w:t>
      </w:r>
    </w:p>
    <w:p>
      <w:pPr>
        <w:ind w:left="780"/>
      </w:pPr>
      <w:r>
        <w:t xml:space="preserve">b) der Strommengenpfad nach § 4a überschritten worden ist oder</w:t>
      </w:r>
    </w:p>
    <w:p>
      <w:pPr>
        <w:ind w:left="780"/>
      </w:pPr>
      <w:r>
        <w:t xml:space="preserve">c) der Bruttostromverbrauch im Bundesgebiet langsamer gestiegen ist, als er bei der Berechnung des Ziels nach § 1 Absatz 2 zugrunde gelegt worden ist.</w:t>
      </w:r>
    </w:p>
    <w:p>
      <w:r>
        <w:t xml:space="preserve">(4) Die Bundesnetzagentur stellt jährlich bis zum 15. März die Differenz der Mengen nach Absatz 3 und, wenn sie die Ermächtigung nach Absatz 3a in Anspruch genommen hat, diesen Betrag fest und verteilt diese Menge, um die sich das Ausschreibungsvolumen erhöht oder verringert, gleichmäßig auf das Ausschreibungsvolumen der folgenden vier noch nicht bekanntgemachten Gebotstermine.</w:t>
      </w:r>
    </w:p>
    <w:p>
      <w:r>
        <w:t xml:space="preserve">(5) Das nach Absatz 4 ermittelte Ausschreibungsvolumen eines Gebotstermins erhöht sich um die Gebotsmenge der Zuschläge, die nach dem 31. Dezember 2022 erteilt und vor der Bekanntgabe des jeweiligen Gebotstermins nach § 35a entwertet wurden. Satz 1 ist entsprechend anzuwenden für entwertete Gebotsmengen von Windenergieanlagen an Land, die in den Ausschreibungen nach § 39n oder § 39o bezuschlagt worden sind. Nach Satz 1 oder 2 zu berücksichtigende Erhöhungen werden dem auf eine Entwertung folgenden noch nicht bekanntgegebenen Gebotstermin nach Absatz 1 zugerechnet.</w:t>
      </w:r>
    </w:p>
    <w:p>
      <w:r>
        <w:t xml:space="preserve">(6) Die Bundesnetzagentur kann das nach den Absätzen 2 bis 5 errechnete Ausschreibungsvolumen eines Gebotstermins verringern, wenn zu erwarten ist, dass die ausgeschriebene Menge größer als die eingereichte Gebotsmenge sein wird (drohende Unterzeichnung). Eine drohende Unterzeichnung ist insbesondere dann anzunehmen, wenn</w:t>
      </w:r>
    </w:p>
    <w:p>
      <w:pPr>
        <w:ind w:left="420"/>
      </w:pPr>
      <w:r>
        <w:t xml:space="preserve">1. die Summe der Leistung der nach der Meldefrist nach § 36 Absatz 1 Nummer 2 des vorangegangenen Gebotstermins dem Register gemeldeten Genehmigungen, soweit für sie keine Meldung nach § 22b Absatz 2 erfolgt ist, und der Gebotsmenge der im vorangegangenen Gebotstermin nicht bezuschlagten Gebote unter dem Ausschreibungsvolumen des durchzuführenden Gebotstermins liegt und</w:t>
      </w:r>
    </w:p>
    <w:p>
      <w:pPr>
        <w:ind w:left="420"/>
      </w:pPr>
      <w:r>
        <w:t xml:space="preserve">2. die im vorangegangenen Gebotstermin eingereichte Gebotsmenge kleiner als die ausgeschriebene Menge des Gebotstermins war.</w:t>
      </w:r>
    </w:p>
    <w:p>
      <w:r>
        <w:t xml:space="preserve">Das neue Ausschreibungsvolumen des Gebotstermins soll höchstens der Summe der Leistung der nach der Meldefrist nach § 36 Absatz 1 Nummer 2 des vorangegangenen Gebotstermins dem Register gemeldeten genehmigten Anlagen und der Gebotsmenge der im vorangegangenen Gebotstermin nicht bezuschlagten Gebote entsprechen. Für das nach Satz 1 gekürzte Ausschreibungsvolumen ist Absatz 3 Nummer 1 entsprechend anzuwenden.</w:t>
      </w:r>
    </w:p>
    <w:p>
      <w:r>
        <w:rPr>
          <w:color w:val="555555"/>
          <w:sz w:val="17"/>
        </w:rPr>
        <w:t xml:space="preserve">Zitiervorschlag: § 28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