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EEG 2014 — Aufrechnung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Aufrechnung von Ansprüchen des Anlagenbetreibers nach § 19 Absatz 1 mit einer Forderung des Netzbetreibers ist nur zulässig, soweit die Forderung unbestritten oder rechtskräftig festgestellt ist. Abweichend von Satz 1 können Netzbetreiber Ansprüche nach dem Energiefinanzierungsgesetz auf Zahlung einer Umlage gegen Umlagenschuldner, die zugleich Anlagenbetreiber sind, mit Ansprüchen dieser Anlagenbetreiber auf Zahlung nach diesem Teil aufrechnen.</w:t>
      </w:r>
    </w:p>
    <w:p>
      <w:r>
        <w:t xml:space="preserve">(2) Das Aufrechnungsverbot des § 23 Absatz 3 der Niederspannungsanschlussverordnung ist nicht anzuwenden, wenn mit Ansprüchen aus diesem Gesetz aufgerechnet wird.</w:t>
      </w:r>
    </w:p>
    <w:p>
      <w:r>
        <w:rPr>
          <w:color w:val="555555"/>
          <w:sz w:val="17"/>
        </w:rPr>
        <w:t xml:space="preserve">Zitiervorschlag: § 27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