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EEG 2014 — Abschläge, Fälligkeit und Endabrechnung</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Auf die zu erwartenden Zahlungen nach § 19 Absatz 1 sind monatlich jeweils zum 15. Kalendertag für den Vormonat Abschläge in angemessenem Umfang zu leisten. Wird die Höhe der Marktprämie nach Anlage 1 Nummer 4 anhand des Jahresmarktwertes berechnet, können die Abschläge für Zahlungen der Marktprämie anhand des Jahresmarktwertes des Vorjahres bestimmt werden. Zu hohe oder zu niedrige Abschläge sind mit der Endabrechnung im jeweils folgenden Kalenderjahr auszugleichen oder zu erstatten.</w:t>
      </w:r>
    </w:p>
    <w:p>
      <w:r>
        <w:t xml:space="preserve">(2) Der Anspruch nach § 19 Absatz 1 wird fällig, sobald und soweit der Anlagenbetreiber seine Pflichten zur Übermittlung von Daten nach § 71 Absatz 1 erfüllt hat. Satz 1 ist für den Anspruch auf monatliche Abschläge nach Absatz 1 erst ab März des auf die Inbetriebnahme der Anlage folgenden Jahres anzuwenden.</w:t>
      </w:r>
    </w:p>
    <w:p>
      <w:r>
        <w:t xml:space="preserve">(3) Die Endabrechnung nach Absatz 1 muss die Nummer der EEG-Anlage nach § 8 Absatz 2 der Marktstammdatenregisterverordnung enthalten und ist dem Berechtigten auf Verlangen in digitaler und massengeschäftstauglicher Form auszustellen.</w:t>
      </w:r>
    </w:p>
    <w:p>
      <w:r>
        <w:rPr>
          <w:color w:val="555555"/>
          <w:sz w:val="17"/>
        </w:rPr>
        <w:t xml:space="preserve">Zitiervorschlag: § 26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