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EEG 2014 — Beginn, Dauer und Beendigung des Anspruchs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Marktprämien, Einspeisevergütungen oder Mieterstromzuschläge sind jeweils für die Dauer von 20 Jahren zu zahlen, soweit sich aus den Bestimmungen dieses Gesetzes nichts anderes ergibt. Bei Anlagen, deren anzulegender Wert gesetzlich bestimmt wird, verlängert sich dieser Zeitraum bis zum 31. Dezember des zwanzigsten Jahres der Zahlung. Beginn der Frist nach Satz 1 ist, soweit sich aus den Bestimmungen dieses Gesetzes nichts anderes ergibt, der Zeitpunkt der Inbetriebnahme der Anlage.</w:t>
      </w:r>
    </w:p>
    <w:p>
      <w:r>
        <w:t xml:space="preserve">(2) Abweichend von Absatz 1 ist die Einspeisevergütung nach § 19 Absatz 1 Nummer 2 in Verbindung mit § 21 Absatz 1 Satz 1 Nummer 4 bei ausgeförderten Anlagen bis zum 31. Dezember 2032 zu zahlen.</w:t>
      </w:r>
    </w:p>
    <w:p>
      <w:r>
        <w:rPr>
          <w:color w:val="555555"/>
          <w:sz w:val="17"/>
        </w:rPr>
        <w:t xml:space="preserve">Zitiervorschlag: § 25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