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23c EEG 2014 — Anteilige Zahlung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Besteht für Strom der Anspruch nach § 19 Absatz 1 in Abhängigkeit von der Bemessungsleistung oder der installierten Leistung, bestimmt sich dieser</w:t>
      </w:r>
    </w:p>
    <w:p>
      <w:pPr>
        <w:ind w:left="420"/>
      </w:pPr>
      <w:r>
        <w:t xml:space="preserve">1. für Solaranlagen oder Windenergieanlagen jeweils anteilig nach der installierten Leistung der Anlage im Verhältnis zu dem jeweils anzuwendenden Schwellenwert und</w:t>
      </w:r>
    </w:p>
    <w:p>
      <w:pPr>
        <w:ind w:left="420"/>
      </w:pPr>
      <w:r>
        <w:t xml:space="preserve">2. in allen anderen Fällen jeweils anteilig nach der Bemessungsleistung der Anlage.</w:t>
      </w:r>
    </w:p>
    <w:p>
      <w:r>
        <w:rPr>
          <w:color w:val="555555"/>
          <w:sz w:val="17"/>
        </w:rPr>
        <w:t xml:space="preserve">Zitiervorschlag: § 23c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