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EEG 2014 — Allgemeine Bestimmungen zur Höhe der Zahlung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Höhe des Anspruchs nach § 19 Absatz 1 bestimmt sich nach den hierfür als Berechnungsgrundlage anzulegenden Werten für Strom aus erneuerbaren Energien oder aus Grubengas.</w:t>
      </w:r>
    </w:p>
    <w:p>
      <w:r>
        <w:t xml:space="preserve">(2) In den anzulegenden Werten ist die Umsatzsteuer nicht enthalten.</w:t>
      </w:r>
    </w:p>
    <w:p>
      <w:r>
        <w:t xml:space="preserve">(3) Die Höhe des Anspruchs nach § 19 Absatz 1 verringert sich nach Berücksichtigung der §§ 23a bis 26 in folgender Reihenfolge, wobei der Anspruch keinen negativen Wert annehmen kann:</w:t>
      </w:r>
    </w:p>
    <w:p>
      <w:pPr>
        <w:ind w:left="420"/>
      </w:pPr>
      <w:r>
        <w:t xml:space="preserve">1. nach Maßgabe des § § 39i Absatz 2 Satz 1 oder § 44b Absatz 1 Satz 2 für den dort genannten Anteil der in einem Kalenderjahr erzeugten Strommenge aus Biogas,</w:t>
      </w:r>
    </w:p>
    <w:p>
      <w:pPr>
        <w:ind w:left="420"/>
      </w:pPr>
      <w:r>
        <w:t xml:space="preserve">2. nach Maßgabe des § 51 bei negativen Preisen,</w:t>
      </w:r>
    </w:p>
    <w:p>
      <w:pPr>
        <w:ind w:left="420"/>
      </w:pPr>
      <w:r>
        <w:t xml:space="preserve">3. nach Maßgabe der §§ 52 und 44c Absatz 8 sowie der Anlage 3 Nummer I.5 bei einem Verstoß gegen eine Bestimmung dieses Gesetzes,</w:t>
      </w:r>
    </w:p>
    <w:p>
      <w:pPr>
        <w:ind w:left="420"/>
      </w:pPr>
      <w:r>
        <w:t xml:space="preserve">4. nach Maßgabe des § 53 bei der Inanspruchnahme einer Einspeisevergütung,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nach Maßgabe des § 53b bei der Inanspruchnahme von Regionalnachweisen,</w:t>
      </w:r>
    </w:p>
    <w:p>
      <w:pPr>
        <w:ind w:left="420"/>
      </w:pPr>
      <w:r>
        <w:t xml:space="preserve">7. nach Maßgabe des § 53c bei einer Stromsteuerbefreiung und</w:t>
      </w:r>
    </w:p>
    <w:p>
      <w:pPr>
        <w:ind w:left="420"/>
      </w:pPr>
      <w:r>
        <w:t xml:space="preserve">8. für Solaranlagen, deren anzulegender Wert durch Ausschreibungen ermittelt wird,</w:t>
      </w:r>
    </w:p>
    <w:p>
      <w:pPr>
        <w:ind w:left="780"/>
      </w:pPr>
      <w:r>
        <w:t xml:space="preserve">a) nach Maßgabe des § 54 Absatz 1 im Fall der verspäteten Inbetriebnahme einer Solaranlage,</w:t>
      </w:r>
    </w:p>
    <w:p>
      <w:pPr>
        <w:ind w:left="780"/>
      </w:pPr>
      <w:r>
        <w:t xml:space="preserve">b) nach Maßgabe des § 54 Absatz 2 im Fall der Übertragung der Zahlungsberechtigung für eine Solaranlage auf einen anderen Standort und</w:t>
      </w:r>
    </w:p>
    <w:p>
      <w:pPr>
        <w:ind w:left="780"/>
      </w:pPr>
      <w:r>
        <w:t xml:space="preserve">c) nach Maßgabe des § 54 Absatz 3 im Fall der Nichterbringung des Nachweises über den gleichzeitigen Nutzpflanzenanbau oder die gleichzeitige landwirtschaftliche Nutzung.</w:t>
      </w:r>
    </w:p>
    <w:p>
      <w:r>
        <w:rPr>
          <w:color w:val="555555"/>
          <w:sz w:val="17"/>
        </w:rPr>
        <w:t xml:space="preserve">Zitiervorschlag: § 23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