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22b EEG 2014 — Bürgerenergiegesellschaften</w:t>
      </w:r>
    </w:p>
    <w:p>
      <w:r>
        <w:rPr>
          <w:color w:val="555555"/>
          <w:sz w:val="18"/>
        </w:rPr>
        <w:t xml:space="preserve">Erneuerbare-Energien-Gesetz</w:t>
      </w:r>
    </w:p>
    <w:p>
      <w:r>
        <w:rPr>
          <w:color w:val="555555"/>
          <w:sz w:val="18"/>
        </w:rPr>
        <w:t xml:space="preserve">Stand: 17.05.2024 (konsolidierte Textfassung, kein amtliches Inkrafttretensdatum)</w:t>
      </w:r>
    </w:p>
    <w:p>
      <w:r>
        <w:t xml:space="preserve">(1) Die Ausnahme von dem Erfordernis eines wirksamen Zuschlags nach § 22 Absatz 2 Satz 2 Nummer 3 ist nur zulässig, wenn</w:t>
      </w:r>
    </w:p>
    <w:p>
      <w:pPr>
        <w:ind w:left="420"/>
      </w:pPr>
      <w:r>
        <w:t xml:space="preserve">1. der Bundesnetzagentur mitgeteilt worden ist, dass die Windenergieanlagen an Land Anlagen einer Bürgerenergiegesellschaft sind,</w:t>
      </w:r>
    </w:p>
    <w:p>
      <w:pPr>
        <w:ind w:left="420"/>
      </w:pPr>
      <w:r>
        <w:t xml:space="preserve">2. diese Mitteilung der Bundesnetzagentur spätestens drei Wochen nach Erteilung der Genehmigung nach dem Bundes-Immissionsschutzgesetz zugegangen ist und in der Mitteilung die Registernummer angegeben ist und</w:t>
      </w:r>
    </w:p>
    <w:p>
      <w:pPr>
        <w:ind w:left="420"/>
      </w:pPr>
      <w:r>
        <w:t xml:space="preserve">3. die Bürgerenergiegesellschaft sowie ihre stimmberechtigten Mitglieder oder Anteilseigner, die juristische Personen des Privatrechts sind, und die mit diesen jeweils verbundenen Unternehmen nach Artikel 3 des Anhangs I der Verordnung (EU) Nr. 651/2014 in den vorangegangenen drei Jahren keine weiteren Windenergieanlagen an Land in Betrieb genommen haben.</w:t>
      </w:r>
    </w:p>
    <w:p>
      <w:r>
        <w:t xml:space="preserve">(2) Die Ausnahme von dem Erfordernis einer wirksamen Zahlungsberechtigung oder eines wirksamen Zuschlags nach § 22 Absatz 3 Satz 2 Nummer 2 ist nur zulässig, wenn</w:t>
      </w:r>
    </w:p>
    <w:p>
      <w:pPr>
        <w:ind w:left="420"/>
      </w:pPr>
      <w:r>
        <w:t xml:space="preserve">1. die Solaranlagen der Bundesnetzagentur spätestens drei Wochen nach Inbetriebnahme unter Angabe der Registernummer mitgeteilt worden sind und</w:t>
      </w:r>
    </w:p>
    <w:p>
      <w:pPr>
        <w:ind w:left="420"/>
      </w:pPr>
      <w:r>
        <w:t xml:space="preserve">2. die Bürgerenergiegesellschaft sowie ihre stimmberechtigten Mitglieder oder Anteilseigner, die juristische Personen des Privatrechts sind, und die mit diesen jeweils verbundenen Unternehmen nach Artikel 3 des Anhangs I der Verordnung (EU) Nr. 651/2014 in den vorangegangenen drei Jahren keine weiteren Solaranlagen desselben Segments in Betrieb genommen haben.</w:t>
      </w:r>
    </w:p>
    <w:p>
      <w:r>
        <w:t xml:space="preserve">(3) Die Bundesnetzagentur veröffentlicht die Registernummern der Anlagen, für die eine Mitteilung nach Absatz 1 Nummer 1 oder Absatz 2 Nummer 1 abgegeben wurde.</w:t>
      </w:r>
    </w:p>
    <w:p>
      <w:r>
        <w:t xml:space="preserve">(4) Das Vorliegen der Anforderungen nach § 3 Nummer 15 ist zum Zeitpunkt der Inbetriebnahme und danach alle fünf Jahre gegenüber dem Netzbetreiber nachzuweisen. Der Nachweis muss für die folgenden Zeiträume erfolgen:</w:t>
      </w:r>
    </w:p>
    <w:p>
      <w:pPr>
        <w:ind w:left="420"/>
      </w:pPr>
      <w:r>
        <w:t xml:space="preserve">1. bei der erstmaligen Nachweisführung für die zwölf Monate, die der Meldung nach Absatz 1 Nummer 1 oder Absatz 2 Nummer 1 vorangegangen sind, wobei bezüglich der Anforderungen nach § 3 Nummer 15 Buchstabe a, c und d der Nachweis für den Zeitraum des Bestehens der Bürgerenergiegesellschaft ausreicht, wenn dieser Zeitraum kürzer ist, und</w:t>
      </w:r>
    </w:p>
    <w:p>
      <w:pPr>
        <w:ind w:left="420"/>
      </w:pPr>
      <w:r>
        <w:t xml:space="preserve">2. bei allen weiteren Nachweisführungen jeweils für die zwölf Monate, die dem Zeitpunkt der Nachweisführung vorangegangen sind.</w:t>
      </w:r>
    </w:p>
    <w:p>
      <w:r>
        <w:t xml:space="preserve">Der Nachweis kann bei der erstmaligen Nachweisführung durch Eigenerklärung erfolgen; in diesem Fall muss die Bürgerenergiegesellschaft dem Netzbetreiber auf Verlangen geeignete Nachweise zur Überprüfung der abgegebenen Eigenerklärungen vorlegen. Wird der Nachweis nach den Sätzen 1 bis 3 nicht bis spätestens zwei Monate nach Ablauf der Fristen nach Satz 1 geführt, entfällt ab dem ersten Tag des Kalendermonats, der auf den Ablauf der Frist nach Satz 1 folgt, der Vergütungsanspruch nach § 19 Absatz 1. Die Sätze 3 und 4 sind auf den Nachweis der Anforderungen nach Absatz 1 Nummer 3 und Absatz 2 Nummer 2 entsprechend anzuwenden.</w:t>
      </w:r>
    </w:p>
    <w:p>
      <w:r>
        <w:t xml:space="preserve">(5) Bürgerenergiegesellschaften sowie deren stimmberechtigte Mitglieder oder Anteilseigner, die juristische Personen des Privatrechts sind, und die mit diesen jeweils verbundenen Unternehmen nach Artikel 3 des Anhangs I der Verordnung (EU) Nr. 651/2014 dürfen für drei Jahre ab der Mitteilung nach Absatz 1 Nummer 1 oder Absatz 2 Nummer 1 keine Förderung nach diesem Gesetz oder einer auf Grund dieses Gesetzes erlassenen Rechtsverordnung für weitere Anlagen derselben Technologie und desselben Segments in Anspruch nehmen. Eine Teilnahme an den jeweiligen Ausschreibungen nach § 28, § 28a oder § 28b ist während dieses Zeitraums nicht zulässig.</w:t>
      </w:r>
    </w:p>
    <w:p>
      <w:r>
        <w:t xml:space="preserve">(6) Die Länder können weitergehende Bestimmungen zur Bürgerbeteiligung und zur Steigerung der Akzeptanz für den Bau von neuen Anlagen erlassen, wenn § 80a nicht beeinträchtigt ist.</w:t>
      </w:r>
    </w:p>
    <w:p>
      <w:r>
        <w:rPr>
          <w:color w:val="555555"/>
          <w:sz w:val="17"/>
        </w:rPr>
        <w:t xml:space="preserve">Zitiervorschlag: § 22b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https://recht.nulegal.eu/gesetze/EEG%202014/22b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