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EEG 2014 — Zuordnung zu einer Veräußerungsform, Wechsel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Anlagenbetreiber müssen jede Anlage einer der folgenden Veräußerungsformen zuordnen:</w:t>
      </w:r>
    </w:p>
    <w:p>
      <w:pPr>
        <w:ind w:left="420"/>
      </w:pPr>
      <w:r>
        <w:t xml:space="preserve">1. der Marktprämie nach § 20,</w:t>
      </w:r>
    </w:p>
    <w:p>
      <w:pPr>
        <w:ind w:left="420"/>
      </w:pPr>
      <w:r>
        <w:t xml:space="preserve">2. der Einspeisevergütung nach § 21 Absatz 1 Satz 1 Nummer 1, Nummer 2, Nummer 3 oder Nummer 4,</w:t>
      </w:r>
    </w:p>
    <w:p>
      <w:pPr>
        <w:ind w:left="420"/>
      </w:pPr>
      <w:r>
        <w:t xml:space="preserve">3. dem Mieterstromzuschlag nach § 21 Absatz 3 oder</w:t>
      </w:r>
    </w:p>
    <w:p>
      <w:pPr>
        <w:ind w:left="420"/>
      </w:pPr>
      <w:r>
        <w:t xml:space="preserve">4. der sonstigen Direktvermarktung nach § 21a.</w:t>
      </w:r>
    </w:p>
    <w:p>
      <w:r>
        <w:t xml:space="preserve">Sie dürfen mit jeder Anlage nur zum ersten Kalendertag eines Monats zwischen den Veräußerungsformen wechseln. Ordnet der Anlagenbetreiber die Anlage dem Mieterstromzuschlag nach § 21 Absatz 3 zu, ist zugleich die Veräußerungsform für den Strom zu wählen, der aus dieser Anlage in das Netz eingespeist wird. Eine Anlage kann der Ausfallvergütung nach § 21 Absatz 1 Satz 1 Nummer 3 nicht zugeordnet werden, wenn sie innerhalb der letzten 24 Monate zumindest zeitweise der unentgeltlichen Abnahme zugeordnet war.</w:t>
      </w:r>
    </w:p>
    <w:p>
      <w:r>
        <w:t xml:space="preserve">(1a) (weggefallen)</w:t>
      </w:r>
    </w:p>
    <w:p>
      <w:r>
        <w:t xml:space="preserve">(2) Anlagenbetreiber dürfen den in ihren Anlagen erzeugten Strom prozentual auf verschiedene Veräußerungsformen nach Absatz 1 aufteilen. Erfolgt die prozentuale Aufteilung nicht ausschließlich auf die Veräußerungsformen des Absatzes 1 Satz 1 Nummer 1 und 4, müssen die Anlagenbetreiber die Prozentsätze nachweislich jederzeit einhalten. Die Sätze 1 und 2 sind nicht für die Ausfallvergütung, die unentgeltliche Abnahme und den Mieterstromzuschlag nach § 21 Absatz 3 anzuwenden.</w:t>
      </w:r>
    </w:p>
    <w:p>
      <w:r>
        <w:t xml:space="preserve">(3) Die Zuordnung einer Anlage oder eines prozentualen Anteils des erzeugten Stroms einer Anlage zur Veräußerungsform einer Direktvermarktung ist nur dann zulässig, wenn die gesamte Ist-Einspeisung der Anlage in viertelstündlicher Auflösung gemessen und bilanziert wird.</w:t>
      </w:r>
    </w:p>
    <w:p>
      <w:r>
        <w:t xml:space="preserve">(4) Unbeschadet von Absatz 1 können Anlagenbetreiber</w:t>
      </w:r>
    </w:p>
    <w:p>
      <w:pPr>
        <w:ind w:left="420"/>
      </w:pPr>
      <w:r>
        <w:t xml:space="preserve">1. jederzeit ihren Direktvermarktungsunternehmer wechseln oder</w:t>
      </w:r>
    </w:p>
    <w:p>
      <w:pPr>
        <w:ind w:left="420"/>
      </w:pPr>
      <w:r>
        <w:t xml:space="preserve">2. Strom vollständig oder anteilig an Dritte weitergeben, sofern</w:t>
      </w:r>
    </w:p>
    <w:p>
      <w:pPr>
        <w:ind w:left="780"/>
      </w:pPr>
      <w:r>
        <w:t xml:space="preserve">a) diese den Strom in unmittelbarer räumlicher Nähe zur Anlage verbrauchen,</w:t>
      </w:r>
    </w:p>
    <w:p>
      <w:pPr>
        <w:ind w:left="780"/>
      </w:pPr>
      <w:r>
        <w:t xml:space="preserve">b) der Strom nicht durch ein Netz durchgeleitet wird und</w:t>
      </w:r>
    </w:p>
    <w:p>
      <w:pPr>
        <w:ind w:left="780"/>
      </w:pPr>
      <w:r>
        <w:t xml:space="preserve">c) kein Fall des Absatzes 1 Satz 1 Nummer 2 in Form der Einspeisevergütung nach § 21 Absatz 1 Satz 1 Nummer 4 oder des Absatzes 1 Satz 1 Nummer 3 vorliegt.</w:t>
      </w:r>
    </w:p>
    <w:p>
      <w:r>
        <w:t xml:space="preserve">(5) Für ausgeförderte Anlagen ist im Fall der Einspeisevergütung nach § 19 Absatz 1 Nummer 2 ausschließlich eine Zuordnung nach § 21 Absatz 1 Satz 1 Nummer 4 möglich.</w:t>
      </w:r>
    </w:p>
    <w:p>
      <w:r>
        <w:rPr>
          <w:color w:val="555555"/>
          <w:sz w:val="17"/>
        </w:rPr>
        <w:t xml:space="preserve">Zitiervorschlag: § 21b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