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EEG 2014 — Einspeisevergütung und Mieterstromzuschlag</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Der Anspruch auf die Zahlung der Einspeisevergütung nach § 19 Absatz 1 Nummer 2 besteht nur für Kalendermonate, in denen der Anlagenbetreiber den Strom in ein Netz einspeist und dem Netzbetreiber nach § 11 Absatz 1 Satz 2 zur Verfügung stellt, und zwar für</w:t>
      </w:r>
    </w:p>
    <w:p>
      <w:pPr>
        <w:ind w:left="420"/>
      </w:pPr>
      <w:r>
        <w:t xml:space="preserve">1. Strom aus Anlagen mit einer installierten Leistung von bis zu 100 Kilowatt, deren anzulegender Wert gesetzlich bestimmt worden ist, dabei verringert sich in diesem Fall der Anspruch nach Maßgabe des § 53 Absatz 1,</w:t>
      </w:r>
    </w:p>
    <w:p>
      <w:pPr>
        <w:ind w:left="420"/>
      </w:pPr>
      <w:r>
        <w:t xml:space="preserve">2. Strom aus Anlagen mit einer installierten Leistung von weniger als 200 Kilowatt, für den keine Zahlung nach den Nummern 1, 3 oder 4 geltend gemacht wird, dabei verringert sich in diesem Fall der Anspruch auf null,</w:t>
      </w:r>
    </w:p>
    <w:p>
      <w:pPr>
        <w:ind w:left="420"/>
      </w:pPr>
      <w:r>
        <w:t xml:space="preserve">3. Strom aus Anlagen mit einer installierten Leistung von mehr als 100 Kilowatt für eine Dauer von bis zu drei aufeinanderfolgenden Kalendermonaten und insgesamt bis zu sechs Kalendermonaten pro Kalenderjahr (Ausfallvergütung), dabei verringert sich in diesem Fall der Anspruch nach Maßgabe des § 53 Absatz 3 und bei Überschreitung einer der Höchstdauern nach dem ersten Halbsatz für den gesamten Kalendermonat auf null, oder</w:t>
      </w:r>
    </w:p>
    <w:p>
      <w:pPr>
        <w:ind w:left="420"/>
      </w:pPr>
      <w:r>
        <w:t xml:space="preserve">4. Strom aus ausgeförderten Anlagen; dabei verringert sich in diesem Fall der Anspruch nach Maßgabe des § 53 Absatz 4.</w:t>
      </w:r>
    </w:p>
    <w:p>
      <w:r>
        <w:t xml:space="preserve">Der nach Satz 1 eingespeiste und zur Verfügung gestellte Strom steht nach § 19 Absatz 1 Nummer 2 vergütetem Strom gleich.</w:t>
      </w:r>
    </w:p>
    <w:p>
      <w:r>
        <w:t xml:space="preserve">(2) Anlagenbetreiber, die die Einspeisevergütung in Anspruch nehmen,</w:t>
      </w:r>
    </w:p>
    <w:p>
      <w:pPr>
        <w:ind w:left="420"/>
      </w:pPr>
      <w:r>
        <w:t xml:space="preserve">1. müssen dem Netzbetreiber den gesamten in dieser Anlage erzeugten Strom zur Verfügung stellen, der</w:t>
      </w:r>
    </w:p>
    <w:p>
      <w:pPr>
        <w:ind w:left="780"/>
      </w:pPr>
      <w:r>
        <w:t xml:space="preserve">a) nicht in unmittelbarer räumlicher Nähe zur Anlage verbraucht wird und</w:t>
      </w:r>
    </w:p>
    <w:p>
      <w:pPr>
        <w:ind w:left="780"/>
      </w:pPr>
      <w:r>
        <w:t xml:space="preserve">b) durch ein Netz durchgeleitet wird, und</w:t>
      </w:r>
    </w:p>
    <w:p>
      <w:pPr>
        <w:ind w:left="420"/>
      </w:pPr>
      <w:r>
        <w:t xml:space="preserve">2. dürfen mit dieser Anlage nicht am Regelenergiemarkt teilnehmen.</w:t>
      </w:r>
    </w:p>
    <w:p>
      <w:r>
        <w:t xml:space="preserve">(3) Der Anspruch auf die Zahlung des Mieterstromzuschlags nach § 19 Absatz 1 Nummer 3 besteht für Strom aus Solaranlagen, die auf, an oder in einem Gebäude oder einer Nebenanlage dieses Gebäudes installiert sind, soweit er von dem Anlagenbetreiber oder einem Dritten an einen Letztverbraucher geliefert und verbraucht worden ist</w:t>
      </w:r>
    </w:p>
    <w:p>
      <w:pPr>
        <w:ind w:left="420"/>
      </w:pPr>
      <w:r>
        <w:t xml:space="preserve">1. innerhalb dieses Gebäudes, dieser Nebenanlage oder in Gebäuden oder Nebenanlagen in demselben Quartier, in dem auch dieses Gebäude liegt, und</w:t>
      </w:r>
    </w:p>
    <w:p>
      <w:pPr>
        <w:ind w:left="420"/>
      </w:pPr>
      <w:r>
        <w:t xml:space="preserve">2. ohne Durchleitung durch ein Netz.</w:t>
      </w:r>
    </w:p>
    <w:p>
      <w:r>
        <w:t xml:space="preserve">Der Anspruch nach Satz 1 besteht bei Gebäuden, die nicht Wohngebäude sind, oder bei Nebenanlagen solcher Gebäude dann nicht, wenn es sich bei dem Anlagenbetreiber oder dem Dritten und dem Letztverbraucher jeweils um Unternehmen handelt, die zueinander in einer der in Artikel 3 Absatz 3 des Anhangs I der Verordnung (EU) Nr. 651/2014 der Kommission vom 17. Juni 2014 zur Feststellung der Vereinbarkeit bestimmter Gruppen von Beihilfen mit dem Binnenmarkt in Anwendung der Artikel 107 und 108 des Vertrags über die Arbeitsweise der Europäischen Union (ABl. L 187 vom 26.6.2014, S. 1), die zuletzt durch die Verordnung (EU) 2021/1237 (ABl. L 270 vom 29.7.2021, S. 39) geändert worden ist, genannten Beziehungen stehen. § 3 Nummer 50 ist mit der Maßgabe anzuwenden, dass mindestens 40 Prozent der Fläche des Gebäudes dem Wohnen dient. Im Fall der Nutzung eines Speichers besteht der Anspruch nach § 19 Absatz 1 Nummer 3 nicht für Strom, der in den Speicher eingespeist wird. Die Strommenge nach Satz 1 muss so genau ermittelt werden, wie es die Messtechnik zulässt, die nach dem Messstellenbetriebsgesetz zu verwenden ist.</w:t>
      </w:r>
    </w:p>
    <w:p>
      <w:r>
        <w:t xml:space="preserve">(4) Das Bundesministerium für Wirtschaft und Klimaschutz evaluiert den Schwellenwert nach Absatz 1 Nummer 1 innerhalb eines Jahres nach der Bekanntgabe des Bundesamtes für Sicherheit in der Informationstechnik nach § 10b Absatz 2 Satz 1 und legt einen Vorschlag für eine Neugestaltung der bisherigen Regelung vor.</w:t>
      </w:r>
    </w:p>
    <w:p>
      <w:r>
        <w:rPr>
          <w:color w:val="555555"/>
          <w:sz w:val="17"/>
        </w:rPr>
        <w:t xml:space="preserve">Zitiervorschlag: § 21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