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20 EEG 2014 — Marktprämie</w:t>
      </w:r>
    </w:p>
    <w:p>
      <w:r>
        <w:rPr>
          <w:color w:val="555555"/>
          <w:sz w:val="18"/>
        </w:rPr>
        <w:t xml:space="preserve">Erneuerbare-Energien-Gesetz</w:t>
      </w:r>
    </w:p>
    <w:p>
      <w:r>
        <w:rPr>
          <w:color w:val="555555"/>
          <w:sz w:val="18"/>
        </w:rPr>
        <w:t xml:space="preserve">Stand: 13.04.2025 (konsolidierte Textfassung, kein amtliches Inkrafttretensdatum)</w:t>
      </w:r>
    </w:p>
    <w:p>
      <w:r>
        <w:t xml:space="preserve">Der Anspruch auf die Zahlung der Marktprämie nach § 19 Absatz 1 Nummer 1 besteht nur für Kalendermonate, in denen</w:t>
      </w:r>
    </w:p>
    <w:p>
      <w:pPr>
        <w:ind w:left="420"/>
      </w:pPr>
      <w:r>
        <w:t xml:space="preserve">1. der Strom direkt vermarktet wird,</w:t>
      </w:r>
    </w:p>
    <w:p>
      <w:pPr>
        <w:ind w:left="420"/>
      </w:pPr>
      <w:r>
        <w:t xml:space="preserve">2. der Anlagenbetreiber dem Netzbetreiber das Recht einräumt, diesen Strom als „Strom aus erneuerbaren Energien oder aus Grubengas, gefördert nach dem EEG“ zu kennzeichnen, und</w:t>
      </w:r>
    </w:p>
    <w:p>
      <w:pPr>
        <w:ind w:left="420"/>
      </w:pPr>
      <w:r>
        <w:t xml:space="preserve">3. der Strom in einem Bilanz- oder Unterbilanzkreis bilanziert wird, in dem ausschließlich bilanziert wird:</w:t>
      </w:r>
    </w:p>
    <w:p>
      <w:pPr>
        <w:ind w:left="780"/>
      </w:pPr>
      <w:r>
        <w:t xml:space="preserve">a) Strom aus erneuerbaren Energien oder aus Grubengas, der in der Veräußerungsform der Marktprämie direkt vermarktet wird, oder</w:t>
      </w:r>
    </w:p>
    <w:p>
      <w:pPr>
        <w:ind w:left="780"/>
      </w:pPr>
      <w:r>
        <w:t xml:space="preserve">b) Strom, der nicht unter Buchstabe a fällt und dessen Einstellung in den Bilanz- oder Unterbilanzkreis nicht von dem Anlagenbetreiber oder dem Direktvermarktungsunternehmer zu vertreten ist.</w:t>
      </w:r>
    </w:p>
    <w:p>
      <w:r>
        <w:t xml:space="preserve">Abweichend von Satz 1 Nummer 3 setzt der Anspruch auf die Zahlung der Marktprämie nach § 19 Absatz 1 Nummer 1 in Verbindung mit Absatz 3 Satz 1 Nummer 2 oder Nummer 3 und Absatz 3b oder Absatz 3c voraus, dass der gesamte an der betroffenen Einspeisestelle in ein Netz eingespeiste Strom in einem gesonderten Bilanz- oder Unterbilanzkreis bilanziert wird, in dem ausschließlich Strom bilanziert wird, bei dem der förderfähige Anteil aus dem Stromspeicher nach der Abgrenzungs- oder Pauschaloption bestimmt wird oder dessen Einstellung in den Bilanz- oder Unterbilanzkreis nicht von dem Anlagenbetreiber oder dem Direktvermarktungsunternehmer zu vertreten ist.</w:t>
      </w:r>
    </w:p>
    <w:p>
      <w:r>
        <w:rPr>
          <w:color w:val="555555"/>
          <w:sz w:val="17"/>
        </w:rPr>
        <w:t xml:space="preserve">Zitiervorschlag: § 20 EEG 2014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https://recht.nulegal.eu/gesetze/EEG%202014/20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