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EEG 2014 — Schadensersatz</w:t>
      </w:r>
    </w:p>
    <w:p>
      <w:r>
        <w:rPr>
          <w:color w:val="555555"/>
          <w:sz w:val="18"/>
        </w:rPr>
        <w:t xml:space="preserve">Erneuerbare-Energien-Gesetz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Verletzt der Netzbetreiber seine Pflicht aus § 12 Absatz 1, können Einspeisewillige Ersatz des hierdurch entstandenen Schadens verlangen. Die Ersatzpflicht tritt nicht ein, wenn der Netzbetreiber die Pflichtverletzung nicht zu vertreten hat.</w:t>
      </w:r>
    </w:p>
    <w:p>
      <w:r>
        <w:t xml:space="preserve">(2) Liegen Tatsachen vor, die die Annahme begründen, dass der Netzbetreiber seine Pflicht aus § 12 Absatz 1 nicht erfüllt hat, können Anlagenbetreiber Auskunft von dem Netzbetreiber darüber verlangen, ob und inwieweit der Netzbetreiber das Netz optimiert, verstärkt und ausgebaut hat.</w:t>
      </w:r>
    </w:p>
    <w:p>
      <w:r>
        <w:rPr>
          <w:color w:val="555555"/>
          <w:sz w:val="17"/>
        </w:rPr>
        <w:t xml:space="preserve">Zitiervorschlag: § 13 EEG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https://recht.nulegal.eu/gesetze/EEG%202014/13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